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ДЕПУТАТОВ  ФЕДОРОВСКОГО  СЕЛЬСОВЕТА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 девятой сессии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26.02.2015                                     с.Федоровка                                            №  1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деятельности Главы Федоровского сельсовета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 района Новосибирской области, результатах деятельности администрации Федоровского  сельсовета Северного района Новосибирской области за 2014 год</w:t>
      </w: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 общих принципах организации местного самоуправления в Российской Федерации», Уставом Федоровского сельсовета Северного района Новосибирской области, заслушав и обсудив отчёт Главы  Федоровского сельсовета Северного района Новосибирской области Писаренко Валентина Яковлевича  о результатах его деятельности, деятельности администрации Федоровского сельсовета Северного района Новосибирской области за 2014 год , Совет депутатов Федоровского сельсовета Северного района Новосибирской области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Е Ш И Л :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Принять отчет Главы Федоровского сельсовета Северного района Новосибирской области о результатах деятельности Главы Федоровского сельсовета Северного района Новосибирской области, результатах деятельности администрации Федоровского сельсовета Северного района Новосибирской области за 2014 год (прилагается).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Деятельность Главы Федоровского сельсовета Северного района Новосибирской области по результатам его ежегодного отчета перед Советом депутатов Федоровского сельсовета Северного района Новосибирской области за 2014 год признать удовлетворительной. 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Опубликовать решение в периодическом печатном издании «Вестник Федоровского сельсовета».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Г.Н. Асмус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деятельности Главы  Федоровского сельсовета Северного района Новосибирской области Писаренко Валентина Яковлевича, 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Федоровского сельсовета Северного района </w:t>
      </w:r>
    </w:p>
    <w:p w:rsidR="00081196" w:rsidRDefault="00081196" w:rsidP="000811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2014 год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Уже стало традицией проводить отчеты перед населением о работе администрации и Совета депутатов поселения, оценивать достигнутые результаты, выявлять существующие проблемы и определять основные задачи и направления нашей деятельности на предстоящий 2015 год.    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Основные направления деятельности администрации строились в соответствии с Уставом поселения, Программой социально-экономического развития  поселения Федоровского сельсовета на период 2008-2017 г.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Одно из направлений работы администрации – формирование бюджета и его  исполнение. 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отчета об исполнении бюджета</w:t>
      </w: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Рассматривая доходную и расходную часть исполнения бюджета 2014 года можно констатировать, что обе части близки к исполнению: 99,9% и 99,8% соответственно. </w:t>
      </w:r>
    </w:p>
    <w:tbl>
      <w:tblPr>
        <w:tblStyle w:val="a4"/>
        <w:tblW w:w="0" w:type="auto"/>
        <w:tblInd w:w="0" w:type="dxa"/>
        <w:tblLook w:val="01E0"/>
      </w:tblPr>
      <w:tblGrid>
        <w:gridCol w:w="1965"/>
        <w:gridCol w:w="2006"/>
        <w:gridCol w:w="1537"/>
        <w:gridCol w:w="1623"/>
      </w:tblGrid>
      <w:tr w:rsidR="00081196" w:rsidTr="00081196">
        <w:trPr>
          <w:trHeight w:val="9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</w:t>
            </w:r>
          </w:p>
        </w:tc>
      </w:tr>
      <w:tr w:rsidR="00081196" w:rsidTr="00081196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81196" w:rsidTr="00081196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6233,2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6228,8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081196" w:rsidTr="00081196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6248,9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6235,8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</w:t>
            </w:r>
          </w:p>
        </w:tc>
      </w:tr>
      <w:tr w:rsidR="00081196" w:rsidTr="00081196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</w:tbl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Основные параметры доходов бюджета администрации Федоровского сельсовета Северного района Новосибирской области на 2014 год констатируются  в суммах: </w:t>
      </w: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структуре доходов на 2014 исполнены следующие группы доходов:</w:t>
      </w:r>
    </w:p>
    <w:tbl>
      <w:tblPr>
        <w:tblStyle w:val="a4"/>
        <w:tblW w:w="0" w:type="auto"/>
        <w:tblInd w:w="0" w:type="dxa"/>
        <w:tblLook w:val="01E0"/>
      </w:tblPr>
      <w:tblGrid>
        <w:gridCol w:w="2012"/>
        <w:gridCol w:w="2006"/>
        <w:gridCol w:w="1537"/>
        <w:gridCol w:w="1623"/>
      </w:tblGrid>
      <w:tr w:rsidR="00081196" w:rsidTr="00081196">
        <w:trPr>
          <w:trHeight w:val="550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</w:t>
            </w:r>
          </w:p>
        </w:tc>
      </w:tr>
      <w:tr w:rsidR="00081196" w:rsidTr="00081196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Налоговые </w:t>
            </w:r>
            <w:r>
              <w:rPr>
                <w:sz w:val="28"/>
                <w:szCs w:val="28"/>
              </w:rPr>
              <w:lastRenderedPageBreak/>
              <w:t>доходы</w:t>
            </w:r>
          </w:p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96,1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108,0</w:t>
            </w:r>
          </w:p>
        </w:tc>
      </w:tr>
      <w:tr w:rsidR="00081196" w:rsidTr="00081196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Неналоговые доходы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251,8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251,8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5885,3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5873,2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99,9</w:t>
            </w:r>
          </w:p>
        </w:tc>
      </w:tr>
      <w:tr w:rsidR="00081196" w:rsidTr="00081196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6233,2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6228,8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99,9</w:t>
            </w:r>
          </w:p>
        </w:tc>
      </w:tr>
    </w:tbl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Анализируя детальную структуру доходов нужно отметить, что при общем исполнении доходной части на 99,9% безвозмездные поступления из бюджетов других уровней  составляют 99,9% к плану, а налоговые и неналоговые поступления – 102,2 % соответственно. Перевыполнены утвержденные бюджетные назначения по налогу на доходы физических лиц на 121,3%, что составляет 7,7 тыс.руб., недовыполнены на 0,5% к утвержденным назначения  поступления от акцизов, что составляет 12,1 тыс.руб.</w:t>
      </w:r>
    </w:p>
    <w:tbl>
      <w:tblPr>
        <w:tblStyle w:val="a4"/>
        <w:tblW w:w="0" w:type="auto"/>
        <w:tblInd w:w="0" w:type="dxa"/>
        <w:tblLayout w:type="fixed"/>
        <w:tblLook w:val="01E0"/>
      </w:tblPr>
      <w:tblGrid>
        <w:gridCol w:w="4068"/>
        <w:gridCol w:w="1620"/>
        <w:gridCol w:w="1260"/>
        <w:gridCol w:w="1440"/>
      </w:tblGrid>
      <w:tr w:rsidR="00081196" w:rsidTr="00081196">
        <w:trPr>
          <w:trHeight w:val="85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121,3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Неналоговые доходы: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251,8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свершение нотариальных действий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5885,3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5873,2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99,9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первичного воинского учета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на выполнение передаваемых полномочий </w:t>
            </w:r>
            <w:r>
              <w:rPr>
                <w:sz w:val="28"/>
                <w:szCs w:val="28"/>
              </w:rPr>
              <w:lastRenderedPageBreak/>
              <w:t>субъектов РФ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Иные межбюджетные трансферты (субсидии, акцизы)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99,5</w:t>
            </w:r>
          </w:p>
        </w:tc>
      </w:tr>
      <w:tr w:rsidR="00081196" w:rsidTr="0008119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6233,2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6228,8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99,9</w:t>
            </w:r>
          </w:p>
        </w:tc>
      </w:tr>
    </w:tbl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Экономическая структура расходов констатируется в суммах:</w:t>
      </w:r>
    </w:p>
    <w:tbl>
      <w:tblPr>
        <w:tblStyle w:val="a4"/>
        <w:tblW w:w="0" w:type="auto"/>
        <w:tblInd w:w="-72" w:type="dxa"/>
        <w:tblLook w:val="01E0"/>
      </w:tblPr>
      <w:tblGrid>
        <w:gridCol w:w="4354"/>
        <w:gridCol w:w="2006"/>
        <w:gridCol w:w="1614"/>
        <w:gridCol w:w="1669"/>
      </w:tblGrid>
      <w:tr w:rsidR="00081196" w:rsidTr="00081196">
        <w:trPr>
          <w:trHeight w:val="685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</w:t>
            </w: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Оплата труда,  начисления на выплаты по оплате труда, иные выплаты персоналу</w:t>
            </w:r>
            <w:r>
              <w:rPr>
                <w:sz w:val="28"/>
                <w:szCs w:val="28"/>
              </w:rPr>
              <w:t xml:space="preserve"> (1статья+2статья)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2677,9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2677,9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Оплата работ услуг всего: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2914,1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2901,0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99,6</w:t>
            </w: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-Услуги связи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-Транспортные услуги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-Коммунальные услуги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-Работы услуги по содержанию имущества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2222,6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 т.ч. капитальный ремонт автодороги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1886,8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текущий ремонт автодороги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294,0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дератизация кладбища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ремонт ограждения кладбища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2,2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ремонт и т/о автомобилей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9,1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обслуживание пожарной сигнализации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ДГПХ по содержанию СДК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заправка картриджей, ремонт компьютера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2,7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-Прочие работы, услуги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 т.ч.: оплата проектной документации на ремонт автодороги и строительный контроль капремонта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138,5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межевание кладбища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межевание памятник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          оплата курсов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Оплата услуг редакции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Страховка транспортных средств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5,7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Оплата договоров ГПХ (услуги пилорамы, строительство гаража, заготовка леса, дров..)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62,6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Электронные подписи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19,8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Переоформление автомобилей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14,6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Услуги нотариуса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Безвозмездные перечисления бюджетам </w:t>
            </w:r>
            <w:r>
              <w:rPr>
                <w:sz w:val="28"/>
                <w:szCs w:val="28"/>
              </w:rPr>
              <w:t>(</w:t>
            </w:r>
            <w:r>
              <w:rPr>
                <w:i/>
                <w:sz w:val="28"/>
                <w:szCs w:val="28"/>
              </w:rPr>
              <w:t>Рев комиссия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Поступление нефинансовых активов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561,6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561,6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 т.ч.   уголь, дрова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117,5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гсм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218,1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автозапчасти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85,6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стройматериалы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122,4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Канц. и хозтовары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Запчасти (компьютер)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2,2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спецодежда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Уплата налогов сборов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65,3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65,3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 т.ч.  налог на имущество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Транспортный налог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20,8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Водный налог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Загрязнение окружающей среды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9,9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Штрафы, пени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10,2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</w:tr>
      <w:tr w:rsidR="00081196" w:rsidTr="00081196"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6248,9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6235,8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99,8</w:t>
            </w:r>
          </w:p>
        </w:tc>
      </w:tr>
    </w:tbl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Недовыполнение  на 0,4% от плановых назначений, что составляет 13,1 тыс.руб. по оплате работ и услуг обусловлено недопоставкой межбюджетных трансфертов и некоторой экономией в почтовых и коммунальных услугах, а также предоставлением  поставщиками услуг документов об оказанных услугах в последний день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2014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или уже в январе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sz w:val="28"/>
            <w:szCs w:val="28"/>
          </w:rPr>
          <w:t>2015 г</w:t>
        </w:r>
      </w:smartTag>
      <w:r>
        <w:rPr>
          <w:rFonts w:ascii="Times New Roman" w:hAnsi="Times New Roman" w:cs="Times New Roman"/>
          <w:sz w:val="28"/>
          <w:szCs w:val="28"/>
        </w:rPr>
        <w:t>., когда свершение платежных операций уже были неосуществимы.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Ведомственная структура расходов констатируется в суммах:</w:t>
      </w:r>
    </w:p>
    <w:tbl>
      <w:tblPr>
        <w:tblStyle w:val="a4"/>
        <w:tblW w:w="0" w:type="auto"/>
        <w:tblInd w:w="-72" w:type="dxa"/>
        <w:tblLook w:val="01E0"/>
      </w:tblPr>
      <w:tblGrid>
        <w:gridCol w:w="4357"/>
        <w:gridCol w:w="2006"/>
        <w:gridCol w:w="1612"/>
        <w:gridCol w:w="1668"/>
      </w:tblGrid>
      <w:tr w:rsidR="00081196" w:rsidTr="00081196">
        <w:trPr>
          <w:trHeight w:val="68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  <w:p w:rsidR="00081196" w:rsidRDefault="00081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</w:t>
            </w:r>
          </w:p>
        </w:tc>
      </w:tr>
      <w:tr w:rsidR="00081196" w:rsidTr="00081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 (</w:t>
            </w:r>
            <w:r>
              <w:rPr>
                <w:i/>
                <w:color w:val="000000"/>
                <w:sz w:val="28"/>
                <w:szCs w:val="28"/>
              </w:rPr>
              <w:t>содержание .главы и органов местного самоуправления)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99,97</w:t>
            </w:r>
          </w:p>
        </w:tc>
      </w:tr>
      <w:tr w:rsidR="00081196" w:rsidTr="00081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Национальная оборона  </w:t>
            </w:r>
            <w:r>
              <w:rPr>
                <w:i/>
                <w:sz w:val="28"/>
                <w:szCs w:val="28"/>
              </w:rPr>
              <w:t>(воинский учет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Национальная экономика </w:t>
            </w:r>
            <w:r>
              <w:rPr>
                <w:i/>
                <w:sz w:val="28"/>
                <w:szCs w:val="28"/>
              </w:rPr>
              <w:t>(дорожное хозяйство)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2319,2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2319,2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2231,1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2218,1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99,6</w:t>
            </w:r>
          </w:p>
        </w:tc>
      </w:tr>
      <w:tr w:rsidR="00081196" w:rsidTr="00081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1131,6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81196" w:rsidTr="00081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(</w:t>
            </w:r>
            <w:r>
              <w:rPr>
                <w:i/>
                <w:sz w:val="28"/>
                <w:szCs w:val="28"/>
              </w:rPr>
              <w:t>рев. комиссия)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081196" w:rsidTr="00081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6248,9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6235,8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</w:t>
            </w:r>
          </w:p>
        </w:tc>
      </w:tr>
    </w:tbl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Недовыполнение  на 0,4% от плановых назначений, что составляет 12,9 тыс.руб. в сфере жилищно-коммунального хозяйства обусловлено экономией в потреблении электроэнергии, что объясняется погодными условиями начала зимы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2014 г</w:t>
        </w:r>
      </w:smartTag>
      <w:r>
        <w:rPr>
          <w:rFonts w:ascii="Times New Roman" w:hAnsi="Times New Roman" w:cs="Times New Roman"/>
          <w:sz w:val="28"/>
          <w:szCs w:val="28"/>
        </w:rPr>
        <w:t>, и незначительной экономией в почтовых услугах в сумме 0,2 тыс.руб. в Центральном аппарате.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Плановые назначения  по доходам и расходам бюджета администрации Федоровского сельсовета корректировались в 2014 году 12 раз, практически ежемесячно. Изменения в бюджет вносились по причине возникновения дополнительных доходов, например по причине изменения  областного бюджета в части безвозмездных поступлений в бюджет поселения, по причине состоявших торгов и реализации муниципального имущества, по причине возникновения остатков на доходном счете на 01.01.2014 г., а также по причине исправления ошибок в применении бюджетной классификации доходов и расходов бюджета поселения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ПЛАТНЫЕ УСЛУГИ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оказания платных услуг ставили 156,3 тыс.руб.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т.ч.: квартплата ………….…....................................................2007,90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сбор за водопользование……………………………………………….77974,67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автоуслуги ………………………………………………31646,88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прочие услуги (пилорама, усл. трактора, ремонт крыши в школе…)………..…44687,31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 Федоровского сельсовета Северного района Новосибирской области  на 01.01.2014г  проживало  264  человека, из них  56  пенсионеров, людей трудоспособного возраста – 161 человек, детей от 0 до 17 лет -  47.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Ветеранов труда РФ    -  19 человек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Ветеранов труда НСО  - 17 человек.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Тружеников тыла  - 1 человек.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Вдов, умерших участников ВОв  – 1 человек.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 инвалидов  - 21 человек.;  из них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Инвалидов  ВОв   - 1 человек.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инвалиды – 1 человек.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Инвалиды по общему заболеванию  -  19 человек.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Репрессированных-реабилитированных  - 1 человек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Специалистов  сельской местности (квалиф. работники)  -  24 человека.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Семей с детьми – 27, в которых воспитывается 40 детей,   из них многодетных было 5 семей, 2 многодетные семьи в 2014 году выбыли.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 2014 год из поселения выбыло - 21 человек, прибыло – 1 человек, родилось – 2 ребёнка, умерло – 3 человека.  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01.01.2015г. на территории поселения проживает 241 человек.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администрации работает Совет профилактики по предупреждению правонарушений среди подростков и взрослого населения. 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Организована работа женсовета, возглавляет председатель – Арзамасова Ольга Яковлевна, общество инвалидов – председатель Тимкина Валентина Николаевна, Совет Ветеранов – председатель Квашнина Раиса Петровна, комиссия по социальной защите населения.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Ежегодно проводятся традиционные мероприятия, посвященные:  «Дню знаний», «Дню матери», «Дню семьи», «Декаде  пожилых людей», «Декада инвалидов».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Ежемесячно производится реализация проездных билетов для льготной категории граждан.</w:t>
      </w:r>
    </w:p>
    <w:p w:rsidR="00081196" w:rsidRDefault="00081196" w:rsidP="00081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заявке доставляется газ для населения.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По итогам года  в общественном секторе на 01.01.2014г. числилось :</w:t>
      </w:r>
    </w:p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880"/>
        <w:gridCol w:w="1880"/>
      </w:tblGrid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2014год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КРС всего: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 голов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голов</w:t>
            </w:r>
          </w:p>
        </w:tc>
      </w:tr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коровы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голова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головы</w:t>
            </w:r>
          </w:p>
        </w:tc>
      </w:tr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молодняк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голов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голова</w:t>
            </w:r>
          </w:p>
        </w:tc>
      </w:tr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овцы, козы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 голов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 голов</w:t>
            </w:r>
          </w:p>
        </w:tc>
      </w:tr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голов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голов</w:t>
            </w:r>
          </w:p>
        </w:tc>
      </w:tr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голов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голов</w:t>
            </w:r>
          </w:p>
        </w:tc>
      </w:tr>
      <w:tr w:rsidR="00081196" w:rsidTr="0008119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 голова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6" w:rsidRDefault="000811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 головы</w:t>
            </w:r>
          </w:p>
        </w:tc>
      </w:tr>
    </w:tbl>
    <w:p w:rsidR="00081196" w:rsidRDefault="00081196" w:rsidP="00081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81196" w:rsidRDefault="00081196" w:rsidP="00081196">
      <w:r>
        <w:rPr>
          <w:rFonts w:ascii="Times New Roman" w:hAnsi="Times New Roman" w:cs="Times New Roman"/>
          <w:sz w:val="28"/>
          <w:szCs w:val="28"/>
        </w:rPr>
        <w:t xml:space="preserve"> В 2014 году скот в общественном секторе был привит. Серьёзных заболеваний по скоту не зарегистрировано.                                                            </w:t>
      </w:r>
    </w:p>
    <w:p w:rsidR="00081196" w:rsidRDefault="00081196" w:rsidP="00081196"/>
    <w:p w:rsidR="00081196" w:rsidRDefault="00081196" w:rsidP="00081196"/>
    <w:p w:rsidR="00EB07C3" w:rsidRDefault="00EB07C3"/>
    <w:sectPr w:rsidR="00EB0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81196"/>
    <w:rsid w:val="00081196"/>
    <w:rsid w:val="00EB0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196"/>
    <w:pPr>
      <w:spacing w:after="0" w:line="240" w:lineRule="auto"/>
    </w:pPr>
  </w:style>
  <w:style w:type="table" w:styleId="a4">
    <w:name w:val="Table Grid"/>
    <w:basedOn w:val="a1"/>
    <w:rsid w:val="00081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7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1634</Words>
  <Characters>9317</Characters>
  <Application>Microsoft Office Word</Application>
  <DocSecurity>0</DocSecurity>
  <Lines>77</Lines>
  <Paragraphs>21</Paragraphs>
  <ScaleCrop>false</ScaleCrop>
  <Company/>
  <LinksUpToDate>false</LinksUpToDate>
  <CharactersWithSpaces>10930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2015-03-02T03:30:00Z</dcterms:created>
  <dcterms:modified xsi:type="dcterms:W3CDTF">2015-03-02T03:30:00Z</dcterms:modified>
</cp:coreProperties>
</file>