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0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0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0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04.10.2024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279-20-3-2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0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0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05.10.2024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4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noHBand="0" w:noVBand="1" w:firstColumn="1" w:lastRow="0" w:lastColumn="0" w:firstRow="1"/>
      </w:tblPr>
      <w:tblGrid>
        <w:gridCol w:w="2234"/>
        <w:gridCol w:w="7659"/>
      </w:tblGrid>
      <w:tr>
        <w:trPr>
          <w:trHeight w:val="745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05-07.10 сохранится высокая пожароопасность (4 класса). В связи с уменьшением сбросов воды Новосибирской ГЭС в нижний бьеф в конце первой – во второй декадах октября уровни воды на р. Обь в районе с. Кругликово ожидаются ниже проектной отметки навигационного уровня (проектная отметка навигационного уровня 150 см).</w:t>
            </w:r>
          </w:p>
        </w:tc>
      </w:tr>
    </w:tbl>
    <w:p>
      <w:pPr>
        <w:pStyle w:val="Normal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iCs/>
          <w:sz w:val="28"/>
          <w:szCs w:val="28"/>
        </w:rPr>
        <w:t>. Верх-Чик, д. Малый Чик на территории Ордынского района, зафиксировано превышение ПДК мышьяка в воде из скважин.</w:t>
      </w:r>
    </w:p>
    <w:p>
      <w:pPr>
        <w:pStyle w:val="Normal"/>
        <w:ind w:firstLine="567"/>
        <w:jc w:val="both"/>
        <w:rPr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По данным Службы МОС в г.Новосибирск за 03-04 октября Пыль - до 1,4 ПДК. По данным КЛМС 'Искитим' в гг.Искитим и Бердск за 03-04 октября превышений ПДК нет.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113,25 мБС (Балтийской системы измерений), сброс 1430 м³/с, приток 1420 м³/с. Уровень воды в реке Обь в районе</w:t>
        <w:br/>
        <w:t>г. Новосибирск находится на отметке 37 см.</w:t>
      </w:r>
    </w:p>
    <w:p>
      <w:pPr>
        <w:pStyle w:val="Normal"/>
        <w:ind w:firstLine="567"/>
        <w:jc w:val="both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ФГБУ «Западно - Сибирское УГМС» на территории Новосибирской области в Кыштовском, Северном, Усть-Тарском, Венгеровском, Чановском, Татарском, Куйбышевском, Убинском, Барабинском, Каргатском, Чулымском, Коченевском, Колыванском, Тогучинском, Новосибирском, Чистоозерном, Купинском, Баганском, Здвинском, Доволенском, Кочковском, Ордынском, Черепановском, Маслянинском, Краснозерском, Карасукском и Сузунском районах установилась высокая пожароопасность 4 класса, на остальной территории области – пожароопасность 3-го класса.</w:t>
      </w:r>
    </w:p>
    <w:p>
      <w:pPr>
        <w:pStyle w:val="126"/>
        <w:ind w:firstLine="567"/>
        <w:jc w:val="both"/>
        <w:rPr/>
      </w:pPr>
      <w:r>
        <w:rPr>
          <w:rStyle w:val="11"/>
          <w:bCs/>
          <w:iCs/>
          <w:spacing w:val="-6"/>
          <w:sz w:val="26"/>
          <w:szCs w:val="26"/>
        </w:rPr>
        <w:t>По данным космического мониторинга за сут</w:t>
      </w:r>
      <w:r>
        <w:rPr>
          <w:rStyle w:val="11"/>
          <w:iCs/>
          <w:spacing w:val="-6"/>
          <w:sz w:val="26"/>
          <w:szCs w:val="26"/>
        </w:rPr>
        <w:t>ки на территории области зафиксированы 4 термические точки (АППГ - 4), из них в 5-ти километровой зоне - 4 (АППГ - 3). Ликвидировано - 4.</w:t>
      </w:r>
    </w:p>
    <w:p>
      <w:pPr>
        <w:pStyle w:val="126"/>
        <w:ind w:firstLine="567"/>
        <w:jc w:val="both"/>
        <w:rPr>
          <w:rStyle w:val="11"/>
          <w:bCs/>
          <w:iCs/>
          <w:spacing w:val="-6"/>
          <w:sz w:val="26"/>
          <w:szCs w:val="26"/>
        </w:rPr>
      </w:pPr>
      <w:r>
        <w:rPr>
          <w:rStyle w:val="11"/>
          <w:bCs/>
          <w:iCs/>
          <w:spacing w:val="-6"/>
          <w:sz w:val="26"/>
          <w:szCs w:val="26"/>
        </w:rPr>
        <w:t>Всего с начала года зарегистрировано 812 термических точек (АППГ - 8232), из них в 5-ти километровой зоне - 676 (АППГ - 5152).</w:t>
      </w:r>
    </w:p>
    <w:p>
      <w:pPr>
        <w:pStyle w:val="126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919" w:type="dxa"/>
        <w:jc w:val="left"/>
        <w:tblInd w:w="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9"/>
        <w:gridCol w:w="1946"/>
        <w:gridCol w:w="1020"/>
        <w:gridCol w:w="1109"/>
        <w:gridCol w:w="921"/>
        <w:gridCol w:w="1277"/>
        <w:gridCol w:w="1275"/>
        <w:gridCol w:w="992"/>
        <w:gridCol w:w="709"/>
      </w:tblGrid>
      <w:tr>
        <w:trPr>
          <w:trHeight w:val="389" w:hRule="atLeast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ind w:left="-546" w:right="-108" w:firstLine="411"/>
              <w:jc w:val="center"/>
              <w:rPr/>
            </w:pPr>
            <w:r>
              <w:rPr>
                <w:rFonts w:cs="Tinos;Times New Roman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33"/>
              <w:jc w:val="center"/>
              <w:rPr/>
            </w:pPr>
            <w:r>
              <w:rPr>
                <w:rFonts w:cs="Tinos;Times New Roman"/>
                <w:bCs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/>
            </w:pPr>
            <w:r>
              <w:rPr>
                <w:rFonts w:cs="Tinos;Times New Roman"/>
                <w:bCs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/>
            </w:pPr>
            <w:r>
              <w:rPr>
                <w:rFonts w:cs="Tinos;Times New Roman"/>
                <w:bCs/>
              </w:rPr>
              <w:t>муниципального района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/>
            </w:pPr>
            <w:r>
              <w:rPr>
                <w:rFonts w:cs="Tinos;Times New Roman"/>
                <w:bCs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/>
            </w:pPr>
            <w:r>
              <w:rPr>
                <w:rFonts w:cs="Tinos;Times New Roman"/>
                <w:bCs/>
              </w:rPr>
              <w:t>средствам космического мониторинга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/>
            </w:pPr>
            <w:r>
              <w:rPr>
                <w:rFonts w:cs="Tinos;Times New Roman"/>
                <w:bCs/>
              </w:rPr>
              <w:t>Подтвер-дились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/>
            </w:pPr>
            <w:r>
              <w:rPr>
                <w:rFonts w:cs="Tinos;Times New Roman"/>
                <w:bCs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/>
            </w:pPr>
            <w:r>
              <w:rPr>
                <w:rFonts w:cs="Tinos;Times New Roman"/>
                <w:bCs/>
              </w:rPr>
              <w:t>отжиг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/>
            </w:pPr>
            <w:r>
              <w:rPr>
                <w:rFonts w:cs="Tinos;Times New Roman"/>
                <w:bCs/>
              </w:rPr>
              <w:t>Не подтвер-дились</w:t>
            </w:r>
          </w:p>
        </w:tc>
      </w:tr>
      <w:tr>
        <w:trPr>
          <w:trHeight w:val="374" w:hRule="atLeast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/>
            </w:pPr>
            <w:r>
              <w:rPr>
                <w:rFonts w:cs="Tinos;Times New Roman"/>
                <w:bCs/>
              </w:rPr>
              <w:t>за сутки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/>
            </w:pPr>
            <w:r>
              <w:rPr>
                <w:rFonts w:cs="Tinos;Times New Roman"/>
                <w:bCs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/>
            </w:pPr>
            <w:r>
              <w:rPr>
                <w:rFonts w:cs="Tinos;Times New Roman"/>
                <w:bCs/>
              </w:rPr>
              <w:t>итогом с начала периода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</w:tr>
      <w:tr>
        <w:trPr>
          <w:trHeight w:val="434" w:hRule="atLeast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65"/>
              <w:jc w:val="center"/>
              <w:rPr/>
            </w:pPr>
            <w:r>
              <w:rPr>
                <w:rFonts w:cs="Tinos;Times New Roman"/>
                <w:bCs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firstLine="3"/>
              <w:jc w:val="center"/>
              <w:rPr/>
            </w:pPr>
            <w:r>
              <w:rPr>
                <w:rFonts w:cs="Tinos;Times New Roman"/>
                <w:bCs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99" w:leader="none"/>
              </w:tabs>
              <w:ind w:left="-102" w:right="-107" w:firstLine="3"/>
              <w:jc w:val="center"/>
              <w:rPr/>
            </w:pPr>
            <w:r>
              <w:rPr>
                <w:rFonts w:cs="Tinos;Times New Roman"/>
                <w:bCs/>
              </w:rPr>
              <w:t>5 км зоне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7"/>
              <w:jc w:val="center"/>
              <w:rPr/>
            </w:pPr>
            <w:r>
              <w:rPr>
                <w:rFonts w:cs="Tinos;Times New Roman"/>
                <w:bCs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8"/>
              <w:jc w:val="center"/>
              <w:rPr/>
            </w:pPr>
            <w:r>
              <w:rPr>
                <w:rFonts w:cs="Tinos;Times New Roman"/>
                <w:bCs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8"/>
              <w:jc w:val="center"/>
              <w:rPr/>
            </w:pPr>
            <w:r>
              <w:rPr>
                <w:rFonts w:cs="Tinos;Times New Roman"/>
                <w:bCs/>
              </w:rPr>
              <w:t>5 км зоне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cs="Tinos;Times New Roman"/>
              </w:rPr>
            </w:pPr>
            <w:r>
              <w:rPr>
                <w:rFonts w:cs="Tinos;Times New Roman"/>
              </w:rPr>
            </w:r>
          </w:p>
        </w:tc>
      </w:tr>
      <w:tr>
        <w:trPr>
          <w:trHeight w:val="22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;Times New Roman"/>
                <w:bCs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</w:rPr>
              <w:t>93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</w:rPr>
              <w:t>81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</w:rPr>
              <w:t>-</w:t>
            </w:r>
          </w:p>
        </w:tc>
      </w:tr>
      <w:tr>
        <w:trPr>
          <w:trHeight w:val="226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;Times New Roman"/>
                <w:bCs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Чистоозерный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</w:rPr>
              <w:t>-</w:t>
            </w:r>
          </w:p>
        </w:tc>
      </w:tr>
      <w:tr>
        <w:trPr>
          <w:trHeight w:val="30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  <w:bookmarkStart w:id="0" w:name="_GoBack11112"/>
            <w:bookmarkStart w:id="1" w:name="_GoBack11112"/>
            <w:bookmarkEnd w:id="1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812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lang w:val="en-US"/>
              </w:rPr>
              <w:t>67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0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16"/>
          <w:szCs w:val="16"/>
          <w:highlight w:val="yellow"/>
        </w:rPr>
      </w:pPr>
      <w:r>
        <w:rPr>
          <w:bCs/>
          <w:iCs/>
          <w:sz w:val="16"/>
          <w:szCs w:val="16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 (Убинский, Чулымский, Каргатский, Куйбышевский районы) и № 3 (Сузунский, Ордынский, Черепановский районы).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 21 пожар, из них 1 в жилом секторе, в результате которых травмированных нет, 1человек погиб (Новосибирская область, Барабинский район, г Барабинск).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bookmarkStart w:id="2" w:name="_Hlk133589652"/>
      <w:r>
        <w:rPr>
          <w:bCs/>
          <w:sz w:val="28"/>
          <w:szCs w:val="28"/>
        </w:rPr>
        <w:t>На дорогах области за прошедшие сутки зарегистрировано 6 ДТП, в результате которых 7 человек травмировано, погибших нет.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2.1. Метеорологическая обстановка</w:t>
      </w:r>
      <w:bookmarkStart w:id="3" w:name="_Hlk113283673"/>
      <w:bookmarkStart w:id="4" w:name="_Hlk100251273"/>
      <w:bookmarkStart w:id="5" w:name="_Hlk101450800"/>
      <w:bookmarkStart w:id="6" w:name="_Hlk99801931"/>
      <w:bookmarkStart w:id="7" w:name="_Hlk116826015"/>
      <w:bookmarkStart w:id="8" w:name="_Hlk112072656"/>
      <w:r>
        <w:rPr>
          <w:b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ебольшая</w:t>
      </w:r>
      <w:r>
        <w:rPr>
          <w:bCs/>
          <w:sz w:val="28"/>
          <w:szCs w:val="28"/>
          <w:shd w:fill="auto" w:val="clear"/>
        </w:rPr>
        <w:t xml:space="preserve"> облачность,  без осадков.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 xml:space="preserve">Ветер </w:t>
      </w:r>
      <w:r>
        <w:rPr>
          <w:bCs/>
          <w:sz w:val="28"/>
          <w:szCs w:val="28"/>
          <w:shd w:fill="auto" w:val="clear"/>
        </w:rPr>
        <w:t>юго-</w:t>
      </w:r>
      <w:r>
        <w:rPr>
          <w:bCs/>
          <w:sz w:val="28"/>
          <w:szCs w:val="28"/>
          <w:shd w:fill="auto" w:val="clear"/>
        </w:rPr>
        <w:t>западный 2-7 м/с, днём местами порывы до 1</w:t>
      </w:r>
      <w:r>
        <w:rPr>
          <w:bCs/>
          <w:sz w:val="28"/>
          <w:szCs w:val="28"/>
          <w:shd w:fill="auto" w:val="clear"/>
        </w:rPr>
        <w:t>4</w:t>
      </w:r>
      <w:r>
        <w:rPr>
          <w:bCs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 xml:space="preserve">Температура воздуха ночью 0, </w:t>
      </w:r>
      <w:r>
        <w:rPr>
          <w:bCs/>
          <w:sz w:val="28"/>
          <w:szCs w:val="28"/>
          <w:shd w:fill="auto" w:val="clear"/>
        </w:rPr>
        <w:t>+</w:t>
      </w:r>
      <w:r>
        <w:rPr>
          <w:bCs/>
          <w:sz w:val="28"/>
          <w:szCs w:val="28"/>
          <w:shd w:fill="auto" w:val="clear"/>
        </w:rPr>
        <w:t>5 °С, местами до -5 °С, днём +1</w:t>
      </w:r>
      <w:r>
        <w:rPr>
          <w:bCs/>
          <w:sz w:val="28"/>
          <w:szCs w:val="28"/>
          <w:shd w:fill="auto" w:val="clear"/>
        </w:rPr>
        <w:t>3</w:t>
      </w:r>
      <w:r>
        <w:rPr>
          <w:bCs/>
          <w:sz w:val="28"/>
          <w:szCs w:val="28"/>
          <w:shd w:fill="auto" w:val="clear"/>
        </w:rPr>
        <w:t>, +1</w:t>
      </w:r>
      <w:r>
        <w:rPr>
          <w:bCs/>
          <w:sz w:val="28"/>
          <w:szCs w:val="28"/>
          <w:shd w:fill="auto" w:val="clear"/>
        </w:rPr>
        <w:t>8</w:t>
      </w:r>
      <w:r>
        <w:rPr>
          <w:bCs/>
          <w:sz w:val="28"/>
          <w:szCs w:val="28"/>
          <w:shd w:fill="auto" w:val="clear"/>
        </w:rPr>
        <w:t xml:space="preserve"> °С.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  <w:r>
        <w:rPr>
          <w:color w:val="FF0000"/>
          <w:sz w:val="28"/>
          <w:szCs w:val="28"/>
          <w:highlight w:val="yellow"/>
          <w:lang w:eastAsia="ru-RU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Новосибирская ГЭС работает в штатном режиме. </w:t>
      </w:r>
      <w:r>
        <w:rPr>
          <w:bCs/>
          <w:sz w:val="28"/>
          <w:szCs w:val="28"/>
        </w:rPr>
        <w:t>Сброс воды из Новосибирского водохранилища составит 1300 ± 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/с, при этом уровень воды по гидропосту на р. Обь г. Новосибирск ожидается в районе 30 ± 10 см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Магнитное поле Земли возможно сильно возмущенное. Ухудшение условий КВ-радиосвязи возможно в отдельные часы суток. Озоновый слой ниже нормы.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всей территории Новосибирской области и г. Новосибирск прогнозируется высокая пожароопасность 4 класса.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пожароопасностью 4 класса возможно возникновение лесных и ландшафтных пожаров, в том числе с риском перехода на населенные пункты.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highlight w:val="yellow"/>
          <w:lang w:eastAsia="ar-SA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>
      <w:pPr>
        <w:pStyle w:val="Normal"/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понижением </w:t>
      </w:r>
      <w:r>
        <w:rPr>
          <w:sz w:val="28"/>
          <w:szCs w:val="28"/>
        </w:rPr>
        <w:t>ночных</w:t>
      </w:r>
      <w:r>
        <w:rPr>
          <w:sz w:val="28"/>
          <w:szCs w:val="28"/>
        </w:rPr>
        <w:t xml:space="preserve"> температур увеличивается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bookmarkStart w:id="10" w:name="_GoBack"/>
      <w:bookmarkStart w:id="11" w:name="_GoBack"/>
      <w:bookmarkEnd w:id="11"/>
    </w:p>
    <w:p>
      <w:pPr>
        <w:pStyle w:val="Normal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2" w:name="_Hlk122957635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началом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2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2.14.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bookmarkStart w:id="15" w:name="_Hlk163747752"/>
      <w:bookmarkEnd w:id="15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4039235</wp:posOffset>
            </wp:positionH>
            <wp:positionV relativeFrom="paragraph">
              <wp:posOffset>53975</wp:posOffset>
            </wp:positionV>
            <wp:extent cx="952500" cy="6381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 вн. службы                                                                                          М.В. Харук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2"/>
        <w:gridCol w:w="3548"/>
        <w:gridCol w:w="3403"/>
        <w:gridCol w:w="1556"/>
      </w:tblGrid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2"/>
        <w:gridCol w:w="3548"/>
        <w:gridCol w:w="3403"/>
        <w:gridCol w:w="1556"/>
      </w:tblGrid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2"/>
        <w:gridCol w:w="3548"/>
        <w:gridCol w:w="3403"/>
        <w:gridCol w:w="1556"/>
      </w:tblGrid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6"/>
      <w:type w:val="nextPage"/>
      <w:pgSz w:w="11906" w:h="16838"/>
      <w:pgMar w:left="1276" w:right="567" w:gutter="0" w:header="284" w:top="993" w:footer="0" w:bottom="567"/>
      <w:pgNumType w:fmt="decimal"/>
      <w:formProt w:val="false"/>
      <w:titlePg/>
      <w:textDirection w:val="lrTb"/>
      <w:docGrid w:type="default" w:linePitch="360" w:charSpace="3194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auto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6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-">
    <w:name w:val="Hyperlink"/>
    <w:qFormat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Pr>
      <w:sz w:val="48"/>
      <w:szCs w:val="48"/>
    </w:rPr>
  </w:style>
  <w:style w:type="character" w:styleId="Style10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1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2" w:customStyle="1">
    <w:name w:val="Текст сноски Знак"/>
    <w:uiPriority w:val="99"/>
    <w:qFormat/>
    <w:rPr>
      <w:sz w:val="18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4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1" w:customStyle="1">
    <w:name w:val="Стиль4 Знак"/>
    <w:qFormat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3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214" w:customStyle="1">
    <w:name w:val="Неразрешенное упоминание2"/>
    <w:qFormat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Основной текст Знак"/>
    <w:basedOn w:val="DefaultParagraphFont"/>
    <w:qFormat/>
    <w:rPr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Style18"/>
    <w:qFormat/>
    <w:pPr>
      <w:widowControl w:val="false"/>
      <w:jc w:val="both"/>
    </w:pPr>
    <w:rPr/>
  </w:style>
  <w:style w:type="paragraph" w:styleId="Style21">
    <w:name w:val="List"/>
    <w:basedOn w:val="Style20"/>
    <w:qFormat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link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Style24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Endnote Text"/>
    <w:basedOn w:val="Normal"/>
    <w:link w:val="Style13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6">
    <w:name w:val="Footnote Text"/>
    <w:basedOn w:val="Normal"/>
    <w:link w:val="Style12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Style27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29">
    <w:name w:val="Body Text Indent"/>
    <w:basedOn w:val="Normal"/>
    <w:qFormat/>
    <w:pPr>
      <w:ind w:left="851" w:firstLine="709"/>
      <w:jc w:val="both"/>
    </w:pPr>
    <w:rPr>
      <w:sz w:val="28"/>
    </w:rPr>
  </w:style>
  <w:style w:type="paragraph" w:styleId="Style30">
    <w:name w:val="Footer"/>
    <w:basedOn w:val="Normal"/>
    <w:link w:val="Style17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pPr>
      <w:spacing w:before="200" w:after="200"/>
    </w:pPr>
    <w:rPr>
      <w:sz w:val="24"/>
      <w:szCs w:val="24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4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6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3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7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8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Заголовок2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8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9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2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3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4" w:customStyle="1">
    <w:name w:val="Заголовок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5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6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5" w:customStyle="1">
    <w:name w:val="Заголовок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6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7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6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7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8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7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yle20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8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/>
      </w:rPr>
      <w:tblPr/>
    </w:tblStylePr>
    <w:tblStylePr w:type="firstCol">
      <w:rPr>
        <w:b/>
        <w:color w:val="7F7F7F" w:themeColor="text1" w:themeTint="80"/>
      </w:rPr>
      <w:tblPr/>
    </w:tblStylePr>
    <w:tblStylePr w:type="lastCol">
      <w:rPr>
        <w:b/>
        <w:color w:val="7F7F7F"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/>
      </w:rPr>
      <w:tblPr/>
    </w:tblStylePr>
    <w:tblStylePr w:type="firstCol">
      <w:rPr>
        <w:b/>
        <w:color w:val="7F7F7F" w:themeColor="text1" w:themeTint="80"/>
      </w:rPr>
      <w:tblPr/>
    </w:tblStylePr>
    <w:tblStylePr w:type="lastCol">
      <w:rPr>
        <w:b/>
        <w:color w:val="7F7F7F"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/>
      </w:rPr>
      <w:tblPr/>
    </w:tblStylePr>
    <w:tblStylePr w:type="firstCol">
      <w:rPr>
        <w:b/>
        <w:color w:val="7F7F7F" w:themeColor="text1" w:themeTint="80"/>
      </w:rPr>
      <w:tblPr/>
    </w:tblStylePr>
    <w:tblStylePr w:type="lastCol">
      <w:rPr>
        <w:b/>
        <w:color w:val="7F7F7F"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/>
      </w:rPr>
      <w:tblPr/>
    </w:tblStylePr>
    <w:tblStylePr w:type="firstCol">
      <w:rPr>
        <w:b/>
        <w:color w:val="A6BFDD" w:themeColor="accent1" w:themeTint="80"/>
      </w:rPr>
      <w:tblPr/>
    </w:tblStylePr>
    <w:tblStylePr w:type="lastCol">
      <w:rPr>
        <w:b/>
        <w:color w:val="A6BFDD"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A9796" w:themeColor="accent2" w:themeTint="96"/>
      </w:rPr>
      <w:tblPr/>
    </w:tblStylePr>
    <w:tblStylePr w:type="firstCol">
      <w:rPr>
        <w:b/>
        <w:color w:val="DA9796" w:themeColor="accent2" w:themeTint="96"/>
      </w:rPr>
      <w:tblPr/>
    </w:tblStylePr>
    <w:tblStylePr w:type="lastCol">
      <w:rPr>
        <w:b/>
        <w:color w:val="DA9796"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BBB59" w:themeColor="accent3"/>
      </w:rPr>
      <w:tblPr/>
    </w:tblStylePr>
    <w:tblStylePr w:type="firstCol">
      <w:rPr>
        <w:b/>
        <w:color w:val="9BBB59" w:themeColor="accent3"/>
      </w:rPr>
      <w:tblPr/>
    </w:tblStylePr>
    <w:tblStylePr w:type="lastCol">
      <w:rPr>
        <w:b/>
        <w:color w:val="9BBB59"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7" w:themeColor="accent4" w:themeTint="99"/>
      </w:rPr>
      <w:tblPr/>
    </w:tblStylePr>
    <w:tblStylePr w:type="firstCol">
      <w:rPr>
        <w:b/>
        <w:color w:val="B2A1C7" w:themeColor="accent4" w:themeTint="99"/>
      </w:rPr>
      <w:tblPr/>
    </w:tblStylePr>
    <w:tblStylePr w:type="lastCol">
      <w:rPr>
        <w:b/>
        <w:color w:val="B2A1C7"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678" w:themeColor="accent5" w:themeShade="94"/>
      </w:rPr>
      <w:tblPr/>
    </w:tblStylePr>
    <w:tblStylePr w:type="firstCol">
      <w:rPr>
        <w:b/>
        <w:color w:val="266678" w:themeColor="accent5" w:themeShade="94"/>
      </w:rPr>
      <w:tblPr/>
    </w:tblStylePr>
    <w:tblStylePr w:type="lastCol">
      <w:rPr>
        <w:b/>
        <w:color w:val="266678"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678" w:themeColor="accent5" w:themeShade="94"/>
      </w:rPr>
      <w:tblPr/>
    </w:tblStylePr>
    <w:tblStylePr w:type="firstCol">
      <w:rPr>
        <w:b/>
        <w:color w:val="266678" w:themeColor="accent5" w:themeShade="94"/>
      </w:rPr>
      <w:tblPr/>
    </w:tblStylePr>
    <w:tblStylePr w:type="lastCol">
      <w:rPr>
        <w:b/>
        <w:color w:val="266678"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0" w:themeColor="accent1" w:themeShade="94"/>
      </w:rPr>
      <w:tblPr/>
    </w:tblStylePr>
    <w:tblStylePr w:type="lastCol">
      <w:rPr>
        <w:b/>
        <w:color w:val="2A4A70"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A9796" w:themeColor="accent2" w:themeTint="96"/>
      </w:rPr>
      <w:tblPr/>
    </w:tblStylePr>
    <w:tblStylePr w:type="lastCol">
      <w:rPr>
        <w:b/>
        <w:color w:val="DA9796"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2D69B" w:themeColor="accent3" w:themeTint="99"/>
      </w:rPr>
      <w:tblPr/>
    </w:tblStylePr>
    <w:tblStylePr w:type="lastCol">
      <w:rPr>
        <w:b/>
        <w:color w:val="C2D69B"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7" w:themeColor="accent4" w:themeTint="99"/>
      </w:rPr>
      <w:tblPr/>
    </w:tblStylePr>
    <w:tblStylePr w:type="lastCol">
      <w:rPr>
        <w:b/>
        <w:color w:val="B2A1C7"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DDC" w:themeColor="accent5" w:themeTint="99"/>
      </w:rPr>
      <w:tblPr/>
    </w:tblStylePr>
    <w:tblStylePr w:type="lastCol">
      <w:rPr>
        <w:b/>
        <w:color w:val="92CDDC"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BF8F" w:themeColor="accent6" w:themeTint="99"/>
      </w:rPr>
      <w:tblPr/>
    </w:tblStylePr>
    <w:tblStylePr w:type="lastCol">
      <w:rPr>
        <w:b/>
        <w:color w:val="FABF8F"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59B6-D00F-4F7E-ABCB-E29B5CA2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38862</TotalTime>
  <Application>LibreOffice/7.5.6.2$Linux_X86_64 LibreOffice_project/50$Build-2</Application>
  <AppVersion>15.0000</AppVersion>
  <Pages>16</Pages>
  <Words>3758</Words>
  <Characters>28831</Characters>
  <CharactersWithSpaces>32115</CharactersWithSpaces>
  <Paragraphs>593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2024-10-04T16:02:22Z</dcterms:modified>
  <cp:revision>836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