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A878" w14:textId="77777777" w:rsidR="00CE7B46" w:rsidRDefault="00CE7B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0EE1DB" w14:textId="77777777" w:rsidR="00CE7B46" w:rsidRDefault="001528A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0EFB555F" w14:textId="77777777" w:rsidR="00CE7B46" w:rsidRDefault="001528A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06.02.2025 г.</w:t>
      </w:r>
    </w:p>
    <w:p w14:paraId="5B06C393" w14:textId="77777777" w:rsidR="00CE7B46" w:rsidRDefault="001528A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D89C2BC" w14:textId="77777777" w:rsidR="00CE7B46" w:rsidRDefault="001528A0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19006218" w14:textId="77777777" w:rsidR="00CE7B46" w:rsidRDefault="001528A0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EBFE43F" w14:textId="77777777" w:rsidR="00CE7B46" w:rsidRDefault="00CE7B46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2A42132" w14:textId="77777777" w:rsidR="00CE7B46" w:rsidRDefault="001528A0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CE7B46" w14:paraId="73877BEC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D9A72F9" w14:textId="77777777" w:rsidR="00CE7B46" w:rsidRDefault="001528A0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939A54E" w14:textId="77777777" w:rsidR="00CE7B46" w:rsidRDefault="001528A0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 w14:paraId="2FA9FDBA" w14:textId="77777777" w:rsidR="00CE7B46" w:rsidRDefault="00CE7B46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7779F1D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31FED82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6AE76320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49D2A6BB" w14:textId="77777777" w:rsidR="00CE7B46" w:rsidRDefault="00CE7B46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</w:rPr>
      </w:pPr>
    </w:p>
    <w:p w14:paraId="31532130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D2CEC54" w14:textId="77777777" w:rsidR="00CE7B46" w:rsidRDefault="001528A0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1F732DB5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20AD2E68" w14:textId="77777777" w:rsidR="00CE7B46" w:rsidRDefault="00CE7B46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14:paraId="2EDA015B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Радиационная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химическая обстановка.</w:t>
      </w:r>
    </w:p>
    <w:p w14:paraId="7C72D506" w14:textId="77777777" w:rsidR="00CE7B46" w:rsidRDefault="001528A0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5C6346A2" w14:textId="77777777" w:rsidR="00CE7B46" w:rsidRDefault="00CE7B46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67998DA4" w14:textId="77777777" w:rsidR="00CE7B46" w:rsidRDefault="00CE7B46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08DBAFC9" w14:textId="77777777" w:rsidR="00CE7B46" w:rsidRDefault="00CE7B46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6EF37860" w14:textId="77777777" w:rsidR="00CE7B46" w:rsidRDefault="001528A0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0D5DEA39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</w:t>
      </w:r>
      <w:r>
        <w:rPr>
          <w:rFonts w:ascii="Times New Roman" w:hAnsi="Times New Roman" w:cs="Times New Roman"/>
          <w:color w:val="000000"/>
          <w:sz w:val="28"/>
          <w:szCs w:val="28"/>
        </w:rPr>
        <w:t>утки не произошло.</w:t>
      </w:r>
    </w:p>
    <w:p w14:paraId="66EF3D2F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22 км.</w:t>
      </w:r>
    </w:p>
    <w:p w14:paraId="030B21EC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5D211926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112,05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(Балтийской системы измерений), сброс 881 м³/с, приток 491 м³/с. Уровень воды в реке Обь в районе г. Новосибирска находится на отметке 29 см.</w:t>
      </w:r>
    </w:p>
    <w:p w14:paraId="59CEAC69" w14:textId="77777777" w:rsidR="00CE7B46" w:rsidRDefault="00CE7B46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68B90E4F" w14:textId="77777777" w:rsidR="00CE7B46" w:rsidRDefault="001528A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1E66E88F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CF47317" w14:textId="77777777" w:rsidR="00CE7B46" w:rsidRDefault="00CE7B46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8F01B95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2E5F286E" w14:textId="77777777" w:rsidR="00CE7B46" w:rsidRDefault="001528A0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139EBCD6" w14:textId="77777777" w:rsidR="00CE7B46" w:rsidRDefault="00CE7B46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BBF0C0C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1.7.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Санитарно-эпидемическая обстановка.</w:t>
      </w:r>
    </w:p>
    <w:p w14:paraId="7B3E0BF0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165CDF64" w14:textId="77777777" w:rsidR="00CE7B46" w:rsidRDefault="00CE7B46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14:paraId="03F2B3B5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10E4D8F6" w14:textId="77777777" w:rsidR="00CE7B46" w:rsidRDefault="001528A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3663FD4E" w14:textId="77777777" w:rsidR="00CE7B46" w:rsidRDefault="001528A0">
      <w:pPr>
        <w:suppressAutoHyphens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 w14:paraId="34F96C0F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</w:t>
      </w:r>
      <w:r>
        <w:rPr>
          <w:rFonts w:ascii="Times New Roman" w:hAnsi="Times New Roman" w:cs="Times New Roman"/>
          <w:color w:val="000000"/>
          <w:sz w:val="28"/>
          <w:szCs w:val="28"/>
        </w:rPr>
        <w:t>ур с трупов восприимчивых животных.</w:t>
      </w:r>
    </w:p>
    <w:p w14:paraId="5FB3434E" w14:textId="77777777" w:rsidR="00CE7B46" w:rsidRDefault="00CE7B46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7B29E897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11CCE038" w14:textId="77777777" w:rsidR="00CE7B46" w:rsidRDefault="001528A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прошедшие сутки на территории области зарегистрировано 16 техногенных пожаров (г. Новосибирск: Ленинский (2), Октябрьский (4), Железнодорожный районы, г. Обь,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Бердск, </w:t>
      </w:r>
      <w:proofErr w:type="spellStart"/>
      <w:r>
        <w:rPr>
          <w:rFonts w:ascii="Times New Roman" w:hAnsi="Times New Roman"/>
          <w:sz w:val="28"/>
          <w:szCs w:val="28"/>
        </w:rPr>
        <w:t>Мошковский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Мошково, </w:t>
      </w:r>
      <w:proofErr w:type="spellStart"/>
      <w:r>
        <w:rPr>
          <w:rFonts w:ascii="Times New Roman" w:hAnsi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</w:t>
      </w:r>
      <w:proofErr w:type="spellStart"/>
      <w:r>
        <w:rPr>
          <w:rFonts w:ascii="Times New Roman" w:hAnsi="Times New Roman"/>
          <w:sz w:val="28"/>
          <w:szCs w:val="28"/>
        </w:rPr>
        <w:t>Катковский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Маслянино, Тогучинский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 xml:space="preserve">. Горный, Куйбышевский район, г. Куйбышев, Сузунский район, с. </w:t>
      </w:r>
      <w:proofErr w:type="spellStart"/>
      <w:r>
        <w:rPr>
          <w:rFonts w:ascii="Times New Roman" w:hAnsi="Times New Roman"/>
          <w:sz w:val="28"/>
          <w:szCs w:val="28"/>
        </w:rPr>
        <w:t>Заковряжино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 п. </w:t>
      </w:r>
      <w:proofErr w:type="spellStart"/>
      <w:r>
        <w:rPr>
          <w:rFonts w:ascii="Times New Roman" w:hAnsi="Times New Roman"/>
          <w:sz w:val="28"/>
          <w:szCs w:val="28"/>
        </w:rPr>
        <w:t>Дорогино</w:t>
      </w:r>
      <w:proofErr w:type="spellEnd"/>
      <w:r>
        <w:rPr>
          <w:rFonts w:ascii="Times New Roman" w:hAnsi="Times New Roman"/>
          <w:sz w:val="28"/>
          <w:szCs w:val="28"/>
        </w:rPr>
        <w:t>), из них 9 в жилом секторе, в р</w:t>
      </w:r>
      <w:r>
        <w:rPr>
          <w:rFonts w:ascii="Times New Roman" w:hAnsi="Times New Roman"/>
          <w:sz w:val="28"/>
          <w:szCs w:val="28"/>
        </w:rPr>
        <w:t>езультате которых 1 человек погиб (г. Новосибирск, Железнодорожный район), 3 человека травмировано.</w:t>
      </w:r>
    </w:p>
    <w:p w14:paraId="7BC28574" w14:textId="77777777" w:rsidR="00CE7B46" w:rsidRDefault="001528A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пожаров, виновные лица и материальный ущерб устанавливаются.</w:t>
      </w:r>
    </w:p>
    <w:p w14:paraId="7086AD6C" w14:textId="77777777" w:rsidR="00CE7B46" w:rsidRDefault="00CE7B46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79B7F2DB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20ECA7AF" w14:textId="77777777" w:rsidR="00CE7B46" w:rsidRDefault="001528A0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Энергосистема Новосибирской области работает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штатном режиме. Возникающие дефекты устраняются в течение суток.</w:t>
      </w:r>
    </w:p>
    <w:p w14:paraId="31E99C3F" w14:textId="77777777" w:rsidR="00CE7B46" w:rsidRDefault="00CE7B46">
      <w:pPr>
        <w:ind w:firstLine="567"/>
        <w:jc w:val="both"/>
        <w:rPr>
          <w:rFonts w:ascii="Times New Roman" w:hAnsi="Times New Roman"/>
          <w:highlight w:val="yellow"/>
        </w:rPr>
      </w:pPr>
    </w:p>
    <w:p w14:paraId="6A1BF526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4D98B1F5" w14:textId="77777777" w:rsidR="00CE7B46" w:rsidRDefault="001528A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носили локальный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характер.</w:t>
      </w:r>
    </w:p>
    <w:p w14:paraId="75EFE735" w14:textId="77777777" w:rsidR="00CE7B46" w:rsidRDefault="00CE7B46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0F85C8FA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1A7BE7E1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1E7B5A0A" w14:textId="77777777" w:rsidR="00CE7B46" w:rsidRDefault="001528A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7D39E70E" w14:textId="77777777" w:rsidR="00CE7B46" w:rsidRDefault="001528A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3161F17C" w14:textId="77777777" w:rsidR="00CE7B46" w:rsidRDefault="001528A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1579DD05" w14:textId="77777777" w:rsidR="00CE7B46" w:rsidRDefault="001528A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 xml:space="preserve"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организации (ОАО «Алмаз-Профи»).</w:t>
      </w:r>
    </w:p>
    <w:p w14:paraId="7F20BA6A" w14:textId="77777777" w:rsidR="00CE7B46" w:rsidRDefault="00CE7B4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259C7E27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7FA06B91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6 ДТП, в результате которых 5 человек погибли (на 6 км автодороги 50К-20 «Усть-Тарка-Татарск» произошло столкновение 2-х легковых автомоби</w:t>
      </w:r>
      <w:r>
        <w:rPr>
          <w:rFonts w:ascii="Times New Roman" w:hAnsi="Times New Roman" w:cs="Times New Roman"/>
          <w:color w:val="000000"/>
          <w:sz w:val="28"/>
          <w:szCs w:val="28"/>
        </w:rPr>
        <w:t>лей. В результате происшествия пострадали 8 человек (все взрослые) из них погибли 5, травмированы 3 (2 в тяжелом состоянии и 1 средней степени тяжести) госпитализированы в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ЦРБ. На месте аварии организовано реверсивное движения. В 16:40 движен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полностью восстановлено в обоих направлениях.), 9 человек травмировано.</w:t>
      </w:r>
    </w:p>
    <w:p w14:paraId="484B8BDE" w14:textId="77777777" w:rsidR="00CE7B46" w:rsidRDefault="001528A0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15419699" w14:textId="77777777" w:rsidR="00CE7B46" w:rsidRDefault="00CE7B46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  <w:bookmarkStart w:id="0" w:name="_Hlk133589652"/>
    </w:p>
    <w:p w14:paraId="103B21FC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47936F14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7E192462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осадков.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ри прояснениях туманы, изморозь. На дорогах местами гололедица.</w:t>
      </w:r>
    </w:p>
    <w:p w14:paraId="2595C6CE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переменный 2-7 м/с.</w:t>
      </w:r>
    </w:p>
    <w:p w14:paraId="7DF88268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-16, -21 °С, при облачности -8, -13 °С, по северо-востоку до -28 °С, днём -12, -17 °С, местами -4, -9 °С.</w:t>
      </w:r>
    </w:p>
    <w:p w14:paraId="41AFCB1D" w14:textId="77777777" w:rsidR="00CE7B46" w:rsidRDefault="00CE7B46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</w:rPr>
      </w:pPr>
    </w:p>
    <w:p w14:paraId="100FF0C7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овки.</w:t>
      </w:r>
    </w:p>
    <w:p w14:paraId="4E94C295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повышенный.</w:t>
      </w:r>
    </w:p>
    <w:p w14:paraId="3BF9A220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72CD70DA" w14:textId="77777777" w:rsidR="00CE7B46" w:rsidRDefault="001528A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E6F431F" w14:textId="77777777" w:rsidR="00CE7B46" w:rsidRDefault="001528A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6ED3B5" w14:textId="77777777" w:rsidR="00CE7B46" w:rsidRDefault="00CE7B46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3FBC7942" w14:textId="77777777" w:rsidR="00CE7B46" w:rsidRDefault="001528A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3C849CCA" w14:textId="77777777" w:rsidR="00CE7B46" w:rsidRDefault="001528A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</w:t>
      </w:r>
      <w:r>
        <w:rPr>
          <w:rFonts w:ascii="Times New Roman" w:hAnsi="Times New Roman" w:cs="Times New Roman"/>
          <w:color w:val="000000"/>
          <w:sz w:val="28"/>
          <w:szCs w:val="28"/>
        </w:rPr>
        <w:t>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467FB39F" w14:textId="77777777" w:rsidR="00CE7B46" w:rsidRDefault="00CE7B4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2C1AA41E" w14:textId="77777777" w:rsidR="00CE7B46" w:rsidRDefault="001528A0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516E612" w14:textId="77777777" w:rsidR="00CE7B46" w:rsidRDefault="001528A0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2A850BD8" w14:textId="77777777" w:rsidR="00CE7B46" w:rsidRDefault="00CE7B46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242600" w14:textId="77777777" w:rsidR="00CE7B46" w:rsidRDefault="001528A0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ED2A13E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7180C028" w14:textId="77777777" w:rsidR="00CE7B46" w:rsidRDefault="00CE7B46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7358A973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2.7. Прогноз эпизоотической обстановки.</w:t>
      </w:r>
    </w:p>
    <w:p w14:paraId="2B69A8C6" w14:textId="77777777" w:rsidR="00CE7B46" w:rsidRDefault="001528A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0F7C817C" w14:textId="77777777" w:rsidR="00CE7B46" w:rsidRDefault="001528A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территории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 Новосибирской области.</w:t>
      </w:r>
    </w:p>
    <w:p w14:paraId="36802573" w14:textId="77777777" w:rsidR="00CE7B46" w:rsidRDefault="00CE7B4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D29777A" w14:textId="77777777" w:rsidR="00CE7B46" w:rsidRDefault="001528A0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6AD98731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низкими ночными температурами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36245704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ем, использование неисправного газового оборудования, отопительных печей, обогревательных устройств, а так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  нарушение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эксплуатации электрооборудования и перегрузка электропроводки в зданиях и сооружениях.</w:t>
      </w:r>
    </w:p>
    <w:p w14:paraId="2B2B03CE" w14:textId="77777777" w:rsidR="00CE7B46" w:rsidRDefault="00CE7B46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2C3DB706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гетики.</w:t>
      </w:r>
    </w:p>
    <w:p w14:paraId="56A33C11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4F443EAD" w14:textId="77777777" w:rsidR="00CE7B46" w:rsidRDefault="00CE7B46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14:paraId="08255F46" w14:textId="77777777" w:rsidR="00CE7B46" w:rsidRDefault="00CE7B46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14:paraId="1CC4AD8A" w14:textId="77777777" w:rsidR="00CE7B46" w:rsidRDefault="00CE7B46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14:paraId="404247F2" w14:textId="77777777" w:rsidR="00CE7B46" w:rsidRDefault="00CE7B46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14:paraId="49CEED53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Прогноз обстановки на объектах ЖКХ.</w:t>
      </w:r>
    </w:p>
    <w:p w14:paraId="22735DE6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EE604BD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травматизма людей из-за гололедицы на пешеходных коммуникациях населенных пунктов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14:paraId="1950ABBE" w14:textId="77777777" w:rsidR="00CE7B46" w:rsidRDefault="00CE7B46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6D94CC6" w14:textId="77777777" w:rsidR="00CE7B46" w:rsidRDefault="001528A0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9631CFA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hAnsi="Times New Roman" w:cs="Times New Roman"/>
          <w:color w:val="000000"/>
          <w:sz w:val="28"/>
          <w:szCs w:val="28"/>
        </w:rPr>
        <w:t>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A5B5C85" w14:textId="77777777" w:rsidR="00CE7B46" w:rsidRDefault="00CE7B46">
      <w:pPr>
        <w:ind w:firstLine="567"/>
        <w:jc w:val="both"/>
        <w:rPr>
          <w:highlight w:val="yellow"/>
          <w:shd w:val="clear" w:color="auto" w:fill="FFFF00"/>
        </w:rPr>
      </w:pPr>
    </w:p>
    <w:p w14:paraId="6DF9088B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05C9BF7A" w14:textId="77777777" w:rsidR="00CE7B46" w:rsidRDefault="001528A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Туманы, гололедица, сужение дорожного полотна снежными отвалами будут способствовать осложнению дорожной обстановки и увеличению количества ДТП, с наибольшей вероятностью на внутригородских дорогах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hAnsi="Times New Roman" w:cs="Times New Roman"/>
          <w:color w:val="000000"/>
          <w:sz w:val="28"/>
          <w:szCs w:val="28"/>
        </w:rPr>
        <w:t>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7C34BEA" w14:textId="77777777" w:rsidR="00CE7B46" w:rsidRDefault="00CE7B46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  <w:bookmarkStart w:id="9" w:name="_GoBack"/>
      <w:bookmarkEnd w:id="9"/>
    </w:p>
    <w:sectPr w:rsidR="00CE7B46">
      <w:headerReference w:type="even" r:id="rId8"/>
      <w:headerReference w:type="default" r:id="rId9"/>
      <w:headerReference w:type="first" r:id="rId10"/>
      <w:pgSz w:w="11906" w:h="16838"/>
      <w:pgMar w:top="1134" w:right="1134" w:bottom="1276" w:left="1701" w:header="284" w:footer="0" w:gutter="0"/>
      <w:cols w:space="720"/>
      <w:formProt w:val="0"/>
      <w:titlePg/>
      <w:docGrid w:linePitch="360" w:charSpace="385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CE0DB" w14:textId="77777777" w:rsidR="001528A0" w:rsidRDefault="001528A0">
      <w:r>
        <w:separator/>
      </w:r>
    </w:p>
  </w:endnote>
  <w:endnote w:type="continuationSeparator" w:id="0">
    <w:p w14:paraId="58484A5A" w14:textId="77777777" w:rsidR="001528A0" w:rsidRDefault="0015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96336" w14:textId="77777777" w:rsidR="001528A0" w:rsidRDefault="001528A0">
      <w:r>
        <w:separator/>
      </w:r>
    </w:p>
  </w:footnote>
  <w:footnote w:type="continuationSeparator" w:id="0">
    <w:p w14:paraId="0C24691B" w14:textId="77777777" w:rsidR="001528A0" w:rsidRDefault="0015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0DB7" w14:textId="77777777" w:rsidR="00CE7B46" w:rsidRDefault="00CE7B46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6BC48" w14:textId="77777777" w:rsidR="00CE7B46" w:rsidRDefault="00CE7B46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8C376" w14:textId="77777777" w:rsidR="00CE7B46" w:rsidRDefault="00CE7B46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D5F68"/>
    <w:multiLevelType w:val="multilevel"/>
    <w:tmpl w:val="EC807F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E75278A"/>
    <w:multiLevelType w:val="multilevel"/>
    <w:tmpl w:val="139A55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6F12400"/>
    <w:multiLevelType w:val="multilevel"/>
    <w:tmpl w:val="C014734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B46"/>
    <w:rsid w:val="001528A0"/>
    <w:rsid w:val="006B636A"/>
    <w:rsid w:val="00C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2002"/>
  <w15:docId w15:val="{2BA2BCFD-42B7-4768-BA9F-D9051E08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7851C-9E24-4F25-8A2A-DAE5F82F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16783</TotalTime>
  <Pages>1</Pages>
  <Words>1302</Words>
  <Characters>7428</Characters>
  <Application>Microsoft Office Word</Application>
  <DocSecurity>0</DocSecurity>
  <Lines>61</Lines>
  <Paragraphs>17</Paragraphs>
  <ScaleCrop>false</ScaleCrop>
  <Company>Microsoft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1668</cp:revision>
  <dcterms:created xsi:type="dcterms:W3CDTF">2024-03-12T19:54:00Z</dcterms:created>
  <dcterms:modified xsi:type="dcterms:W3CDTF">2025-02-05T23:46:00Z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