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A43DF" w14:textId="26B8979C" w:rsidR="002A79E0" w:rsidRDefault="00E92197">
      <w:pPr>
        <w:jc w:val="center"/>
      </w:pPr>
      <w:r>
        <w:rPr>
          <w:b/>
          <w:color w:val="000000"/>
          <w:sz w:val="28"/>
          <w:szCs w:val="28"/>
        </w:rPr>
        <w:t>П</w:t>
      </w:r>
      <w:r w:rsidR="00A71B98">
        <w:rPr>
          <w:b/>
          <w:color w:val="000000"/>
          <w:sz w:val="28"/>
          <w:szCs w:val="28"/>
        </w:rPr>
        <w:t>рогноз возможных чрезвычайных ситуаций</w:t>
      </w:r>
    </w:p>
    <w:p w14:paraId="7E5A812C" w14:textId="77777777" w:rsidR="002A79E0" w:rsidRDefault="00A71B98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07.10.2024 г.</w:t>
      </w:r>
    </w:p>
    <w:p w14:paraId="711A79E8" w14:textId="77777777" w:rsidR="002A79E0" w:rsidRDefault="00A71B98">
      <w:pPr>
        <w:jc w:val="center"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1FC39C1D" w14:textId="77777777" w:rsidR="002A79E0" w:rsidRDefault="00A71B98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E48CE7E" w14:textId="77777777" w:rsidR="002A79E0" w:rsidRDefault="00A71B98">
      <w:pPr>
        <w:jc w:val="center"/>
        <w:outlineLvl w:val="0"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A2675F7" w14:textId="77777777" w:rsidR="002A79E0" w:rsidRDefault="002A79E0">
      <w:pPr>
        <w:outlineLvl w:val="0"/>
        <w:rPr>
          <w:color w:val="000000"/>
          <w:sz w:val="28"/>
          <w:szCs w:val="28"/>
        </w:rPr>
      </w:pPr>
    </w:p>
    <w:p w14:paraId="7088556D" w14:textId="77777777" w:rsidR="002A79E0" w:rsidRDefault="00A71B98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2A79E0" w14:paraId="004F9EE1" w14:textId="7777777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942287D" w14:textId="77777777" w:rsidR="002A79E0" w:rsidRDefault="00A71B98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A1820D9" w14:textId="77777777" w:rsidR="002A79E0" w:rsidRDefault="00A71B98">
            <w:pPr>
              <w:widowControl w:val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C9211E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07.10 сохранится высокая пожароопасность (4 класса).</w:t>
            </w:r>
          </w:p>
          <w:p w14:paraId="4AB0EBB7" w14:textId="77777777" w:rsidR="002A79E0" w:rsidRDefault="00A71B9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</w:rPr>
              <w:t xml:space="preserve">  В связи с уменьшением сбросов воды Новосибирской ГЭС в нижний бьеф в конце первой – во второй декадах октября уровни воды на р. Обь в районе с. </w:t>
            </w:r>
            <w:proofErr w:type="spellStart"/>
            <w:r>
              <w:rPr>
                <w:color w:val="000000"/>
                <w:sz w:val="28"/>
                <w:szCs w:val="28"/>
              </w:rPr>
              <w:t>Кругликово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ожидаются ниже проектной отметки навигационного уровня (проектная отметка навигационного уровня 150 см).</w:t>
            </w:r>
          </w:p>
        </w:tc>
      </w:tr>
    </w:tbl>
    <w:p w14:paraId="098ED796" w14:textId="77777777" w:rsidR="002A79E0" w:rsidRDefault="002A79E0">
      <w:pPr>
        <w:jc w:val="both"/>
        <w:rPr>
          <w:sz w:val="22"/>
          <w:szCs w:val="22"/>
          <w:highlight w:val="yellow"/>
        </w:rPr>
      </w:pPr>
    </w:p>
    <w:p w14:paraId="47F151A9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0FD6A325" w14:textId="77777777" w:rsidR="002A79E0" w:rsidRDefault="00A71B98">
      <w:pPr>
        <w:ind w:firstLine="567"/>
        <w:jc w:val="both"/>
      </w:pPr>
      <w:r>
        <w:rPr>
          <w:b/>
          <w:bCs/>
          <w:sz w:val="28"/>
          <w:szCs w:val="28"/>
        </w:rPr>
        <w:t>1.1. Метеорологическая обстановка.</w:t>
      </w:r>
    </w:p>
    <w:p w14:paraId="383D7611" w14:textId="77777777" w:rsidR="002A79E0" w:rsidRDefault="00A71B98">
      <w:pPr>
        <w:ind w:firstLine="567"/>
        <w:jc w:val="both"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28E749C9" w14:textId="77777777" w:rsidR="002A79E0" w:rsidRDefault="002A79E0">
      <w:pPr>
        <w:ind w:firstLine="567"/>
        <w:jc w:val="both"/>
        <w:rPr>
          <w:b/>
          <w:sz w:val="28"/>
          <w:szCs w:val="28"/>
          <w:shd w:val="clear" w:color="auto" w:fill="FFFF00"/>
        </w:rPr>
      </w:pPr>
    </w:p>
    <w:p w14:paraId="4C06752B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1.2. Экологическая обстановка.</w:t>
      </w:r>
    </w:p>
    <w:p w14:paraId="2EC9C199" w14:textId="77777777" w:rsidR="002A79E0" w:rsidRDefault="00A71B98">
      <w:pPr>
        <w:ind w:firstLine="567"/>
        <w:jc w:val="both"/>
      </w:pPr>
      <w:r>
        <w:rPr>
          <w:iCs/>
          <w:sz w:val="28"/>
          <w:szCs w:val="28"/>
        </w:rPr>
        <w:t>Стабильная.</w:t>
      </w:r>
    </w:p>
    <w:p w14:paraId="0D14CF4B" w14:textId="77777777" w:rsidR="002A79E0" w:rsidRDefault="002A79E0">
      <w:pPr>
        <w:ind w:firstLine="567"/>
        <w:jc w:val="both"/>
        <w:rPr>
          <w:b/>
          <w:sz w:val="28"/>
          <w:szCs w:val="28"/>
          <w:shd w:val="clear" w:color="auto" w:fill="FFFF00"/>
        </w:rPr>
      </w:pPr>
    </w:p>
    <w:p w14:paraId="72613960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1.3. Радиационная и химическая обстановка.</w:t>
      </w:r>
    </w:p>
    <w:p w14:paraId="16E2FC82" w14:textId="77777777" w:rsidR="002A79E0" w:rsidRDefault="00A71B98">
      <w:pPr>
        <w:tabs>
          <w:tab w:val="left" w:pos="1690"/>
        </w:tabs>
        <w:ind w:firstLine="567"/>
        <w:jc w:val="both"/>
      </w:pPr>
      <w:r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Кольцово не зарегистрировано.</w:t>
      </w:r>
    </w:p>
    <w:p w14:paraId="1CFDB89B" w14:textId="77777777" w:rsidR="002A79E0" w:rsidRDefault="002A79E0">
      <w:pPr>
        <w:tabs>
          <w:tab w:val="left" w:pos="1690"/>
        </w:tabs>
        <w:ind w:firstLine="567"/>
        <w:jc w:val="both"/>
        <w:rPr>
          <w:shd w:val="clear" w:color="auto" w:fill="FFFF00"/>
        </w:rPr>
      </w:pPr>
    </w:p>
    <w:p w14:paraId="4C9FE0AF" w14:textId="77777777" w:rsidR="002A79E0" w:rsidRDefault="00A71B98">
      <w:pPr>
        <w:tabs>
          <w:tab w:val="left" w:pos="1690"/>
        </w:tabs>
        <w:ind w:firstLine="567"/>
        <w:jc w:val="both"/>
      </w:pPr>
      <w:r>
        <w:rPr>
          <w:b/>
          <w:sz w:val="28"/>
          <w:szCs w:val="28"/>
        </w:rPr>
        <w:t>1.4. Гидрологическая обстановка.</w:t>
      </w:r>
    </w:p>
    <w:p w14:paraId="2C7B7344" w14:textId="77777777" w:rsidR="002A79E0" w:rsidRDefault="00A71B98">
      <w:pPr>
        <w:ind w:firstLine="567"/>
        <w:jc w:val="both"/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701BB71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14:paraId="38809952" w14:textId="77777777" w:rsidR="002A79E0" w:rsidRDefault="00A71B98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113,26 </w:t>
      </w:r>
      <w:proofErr w:type="spellStart"/>
      <w:r>
        <w:rPr>
          <w:bCs/>
          <w:color w:val="000000"/>
          <w:sz w:val="28"/>
          <w:szCs w:val="28"/>
        </w:rPr>
        <w:t>мБС</w:t>
      </w:r>
      <w:proofErr w:type="spellEnd"/>
      <w:r>
        <w:rPr>
          <w:bCs/>
          <w:color w:val="000000"/>
          <w:sz w:val="28"/>
          <w:szCs w:val="28"/>
        </w:rPr>
        <w:t xml:space="preserve"> (Балтийской системы измерений), сброс 1430 м³/с, приток 1420 м³/с. Уровень воды в реке Обь в районе</w:t>
      </w:r>
      <w:r>
        <w:rPr>
          <w:bCs/>
          <w:color w:val="000000"/>
          <w:sz w:val="28"/>
          <w:szCs w:val="28"/>
        </w:rPr>
        <w:br/>
        <w:t>г. Новосибирск находится на отметке 25 см.</w:t>
      </w:r>
    </w:p>
    <w:p w14:paraId="3886AC44" w14:textId="77777777" w:rsidR="002A79E0" w:rsidRDefault="002A79E0">
      <w:pPr>
        <w:ind w:firstLine="567"/>
        <w:jc w:val="both"/>
        <w:rPr>
          <w:b/>
          <w:bCs/>
          <w:sz w:val="28"/>
          <w:szCs w:val="28"/>
          <w:shd w:val="clear" w:color="auto" w:fill="FFFF00"/>
        </w:rPr>
      </w:pPr>
    </w:p>
    <w:p w14:paraId="218B7F80" w14:textId="77777777" w:rsidR="002A79E0" w:rsidRDefault="00A71B98">
      <w:pPr>
        <w:ind w:firstLine="567"/>
        <w:jc w:val="both"/>
      </w:pPr>
      <w:r>
        <w:rPr>
          <w:b/>
          <w:bCs/>
          <w:sz w:val="28"/>
          <w:szCs w:val="28"/>
        </w:rPr>
        <w:t xml:space="preserve">1.5. </w:t>
      </w:r>
      <w:proofErr w:type="spellStart"/>
      <w:r>
        <w:rPr>
          <w:b/>
          <w:bCs/>
          <w:sz w:val="28"/>
          <w:szCs w:val="28"/>
        </w:rPr>
        <w:t>Лесопожарная</w:t>
      </w:r>
      <w:proofErr w:type="spellEnd"/>
      <w:r>
        <w:rPr>
          <w:b/>
          <w:bCs/>
          <w:sz w:val="28"/>
          <w:szCs w:val="28"/>
        </w:rPr>
        <w:t xml:space="preserve"> обстановка.</w:t>
      </w:r>
    </w:p>
    <w:p w14:paraId="7FA72052" w14:textId="77777777" w:rsidR="002A79E0" w:rsidRDefault="00A71B98">
      <w:pPr>
        <w:ind w:firstLine="567"/>
        <w:jc w:val="both"/>
      </w:pPr>
      <w:r>
        <w:rPr>
          <w:bCs/>
          <w:color w:val="000000"/>
          <w:sz w:val="28"/>
          <w:szCs w:val="28"/>
        </w:rPr>
        <w:t>По данным ФГБУ «</w:t>
      </w:r>
      <w:proofErr w:type="spellStart"/>
      <w:r>
        <w:rPr>
          <w:bCs/>
          <w:color w:val="000000"/>
          <w:sz w:val="28"/>
          <w:szCs w:val="28"/>
        </w:rPr>
        <w:t>Западно</w:t>
      </w:r>
      <w:proofErr w:type="spellEnd"/>
      <w:r>
        <w:rPr>
          <w:bCs/>
          <w:color w:val="000000"/>
          <w:sz w:val="28"/>
          <w:szCs w:val="28"/>
        </w:rPr>
        <w:t xml:space="preserve"> - Сибирское УГМС» на всей территории Новосибирской области (в 30 районах) установилась высокая пожароопасность 4 класса.</w:t>
      </w:r>
    </w:p>
    <w:p w14:paraId="498FED4A" w14:textId="77777777" w:rsidR="002A79E0" w:rsidRDefault="00A71B98">
      <w:pPr>
        <w:pStyle w:val="1f6"/>
        <w:ind w:firstLine="567"/>
        <w:jc w:val="both"/>
        <w:rPr>
          <w:rStyle w:val="10"/>
          <w:iCs/>
          <w:color w:val="FF0000"/>
          <w:spacing w:val="-6"/>
          <w:sz w:val="26"/>
          <w:szCs w:val="26"/>
        </w:rPr>
      </w:pPr>
      <w:r>
        <w:rPr>
          <w:rStyle w:val="10"/>
          <w:bCs/>
          <w:iCs/>
          <w:spacing w:val="-6"/>
          <w:sz w:val="26"/>
          <w:szCs w:val="26"/>
        </w:rPr>
        <w:t>По данным космического мониторинга за сут</w:t>
      </w:r>
      <w:r>
        <w:rPr>
          <w:rStyle w:val="10"/>
          <w:iCs/>
          <w:spacing w:val="-6"/>
          <w:sz w:val="26"/>
          <w:szCs w:val="26"/>
        </w:rPr>
        <w:t>ки на территории области зафиксировано 28 термических точек  (АППГ - 2), из них в 5-ти километровой зоне - 24 (АППГ -1). Не подтверждено - 7, ликвидировано - 12, локализовано - 9.</w:t>
      </w:r>
    </w:p>
    <w:p w14:paraId="318F0155" w14:textId="77777777" w:rsidR="002A79E0" w:rsidRDefault="00A71B98">
      <w:pPr>
        <w:pStyle w:val="1f6"/>
        <w:ind w:firstLine="567"/>
        <w:jc w:val="both"/>
      </w:pPr>
      <w:r>
        <w:rPr>
          <w:rStyle w:val="10"/>
          <w:bCs/>
          <w:iCs/>
          <w:color w:val="000000"/>
          <w:spacing w:val="-6"/>
          <w:sz w:val="26"/>
          <w:szCs w:val="26"/>
        </w:rPr>
        <w:t>Всего с начала года зарегистрированы 854 термических точки (АППГ - 8238), из них в 5-ти километровой зоне — 712 (АППГ - 5155).</w:t>
      </w:r>
    </w:p>
    <w:tbl>
      <w:tblPr>
        <w:tblpPr w:leftFromText="180" w:rightFromText="180" w:vertAnchor="text" w:horzAnchor="page" w:tblpX="1060" w:tblpY="243"/>
        <w:tblW w:w="10217" w:type="dxa"/>
        <w:tblLayout w:type="fixed"/>
        <w:tblLook w:val="04A0" w:firstRow="1" w:lastRow="0" w:firstColumn="1" w:lastColumn="0" w:noHBand="0" w:noVBand="1"/>
      </w:tblPr>
      <w:tblGrid>
        <w:gridCol w:w="821"/>
        <w:gridCol w:w="1987"/>
        <w:gridCol w:w="1010"/>
        <w:gridCol w:w="1243"/>
        <w:gridCol w:w="1187"/>
        <w:gridCol w:w="1139"/>
        <w:gridCol w:w="912"/>
        <w:gridCol w:w="947"/>
        <w:gridCol w:w="971"/>
      </w:tblGrid>
      <w:tr w:rsidR="002A79E0" w14:paraId="2DF6D28E" w14:textId="77777777">
        <w:trPr>
          <w:trHeight w:val="389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DE5D" w14:textId="77777777" w:rsidR="002A79E0" w:rsidRDefault="00A71B98">
            <w:pPr>
              <w:keepNext/>
              <w:keepLines/>
              <w:widowControl w:val="0"/>
              <w:tabs>
                <w:tab w:val="left" w:pos="164"/>
              </w:tabs>
              <w:ind w:right="-108"/>
              <w:jc w:val="both"/>
            </w:pPr>
            <w:r>
              <w:rPr>
                <w:rFonts w:cs="Tinos"/>
              </w:rPr>
              <w:t>№</w:t>
            </w:r>
          </w:p>
          <w:p w14:paraId="7889705F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r>
              <w:rPr>
                <w:rFonts w:cs="Tinos"/>
                <w:bCs/>
              </w:rPr>
              <w:t>п/п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DD81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14:paraId="28467468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8BC1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14:paraId="5ABA3A03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6932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r>
              <w:rPr>
                <w:rFonts w:cs="Tinos"/>
                <w:bCs/>
              </w:rPr>
              <w:t>Подтвер-дились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706A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14:paraId="054576C4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F207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r>
              <w:rPr>
                <w:rFonts w:cs="Tinos"/>
                <w:bCs/>
              </w:rPr>
              <w:t>подтвер-дились</w:t>
            </w:r>
            <w:proofErr w:type="spellEnd"/>
          </w:p>
        </w:tc>
      </w:tr>
      <w:tr w:rsidR="002A79E0" w14:paraId="4121EEA0" w14:textId="77777777">
        <w:trPr>
          <w:trHeight w:val="374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6D85" w14:textId="77777777" w:rsidR="002A79E0" w:rsidRDefault="002A79E0">
            <w:pPr>
              <w:keepNext/>
              <w:keepLines/>
              <w:widowControl w:val="0"/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82A7" w14:textId="77777777" w:rsidR="002A79E0" w:rsidRDefault="002A79E0">
            <w:pPr>
              <w:keepNext/>
              <w:keepLines/>
              <w:widowControl w:val="0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F38B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0226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14:paraId="40A13FCD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lastRenderedPageBreak/>
              <w:t>итогом с начала года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66B4" w14:textId="77777777" w:rsidR="002A79E0" w:rsidRDefault="002A79E0">
            <w:pPr>
              <w:keepNext/>
              <w:keepLines/>
              <w:widowControl w:val="0"/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C8F4" w14:textId="77777777" w:rsidR="002A79E0" w:rsidRDefault="002A79E0">
            <w:pPr>
              <w:keepNext/>
              <w:keepLines/>
              <w:widowControl w:val="0"/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1002" w14:textId="77777777" w:rsidR="002A79E0" w:rsidRDefault="002A79E0">
            <w:pPr>
              <w:keepNext/>
              <w:keepLines/>
              <w:widowControl w:val="0"/>
            </w:pPr>
          </w:p>
        </w:tc>
      </w:tr>
      <w:tr w:rsidR="002A79E0" w14:paraId="47C2BE39" w14:textId="77777777">
        <w:trPr>
          <w:trHeight w:val="434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380E" w14:textId="77777777" w:rsidR="002A79E0" w:rsidRDefault="002A79E0">
            <w:pPr>
              <w:keepNext/>
              <w:keepLines/>
              <w:widowControl w:val="0"/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5950" w14:textId="77777777" w:rsidR="002A79E0" w:rsidRDefault="002A79E0">
            <w:pPr>
              <w:keepNext/>
              <w:keepLines/>
              <w:widowControl w:val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1EF0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C4F6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0816012A" w14:textId="77777777" w:rsidR="002A79E0" w:rsidRDefault="00A71B98">
            <w:pPr>
              <w:keepNext/>
              <w:keepLines/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5C08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8C74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из них в</w:t>
            </w:r>
          </w:p>
          <w:p w14:paraId="3D63070C" w14:textId="77777777" w:rsidR="002A79E0" w:rsidRDefault="00A71B98">
            <w:pPr>
              <w:keepNext/>
              <w:keepLines/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2716" w14:textId="77777777" w:rsidR="002A79E0" w:rsidRDefault="002A79E0">
            <w:pPr>
              <w:keepNext/>
              <w:keepLines/>
              <w:widowControl w:val="0"/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34A9" w14:textId="77777777" w:rsidR="002A79E0" w:rsidRDefault="002A79E0">
            <w:pPr>
              <w:keepNext/>
              <w:keepLines/>
              <w:widowControl w:val="0"/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FDAE" w14:textId="77777777" w:rsidR="002A79E0" w:rsidRDefault="002A79E0">
            <w:pPr>
              <w:keepNext/>
              <w:keepLines/>
              <w:widowControl w:val="0"/>
            </w:pPr>
          </w:p>
        </w:tc>
      </w:tr>
      <w:tr w:rsidR="002A79E0" w14:paraId="63D45D86" w14:textId="77777777">
        <w:trPr>
          <w:trHeight w:val="20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6B86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ACD9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0F15F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8C31E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4E89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A22F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99255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F95A1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C17A9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2A79E0" w14:paraId="0EB8423A" w14:textId="77777777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C12F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0A4E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г. Бердск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C3133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8235B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2BE0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3E11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2D83C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E4944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D9CE2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2A79E0" w14:paraId="19211762" w14:textId="77777777">
        <w:trPr>
          <w:trHeight w:val="21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606B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CF4C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г. Искитим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97C11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9498E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9AF6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A90E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26830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3B4B4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8513B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2A79E0" w14:paraId="08113686" w14:textId="77777777">
        <w:trPr>
          <w:trHeight w:val="21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C100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F1E5" w14:textId="77777777" w:rsidR="002A79E0" w:rsidRDefault="00A71B98">
            <w:pPr>
              <w:keepNext/>
              <w:keepLines/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р.п</w:t>
            </w:r>
            <w:proofErr w:type="spellEnd"/>
            <w:r>
              <w:rPr>
                <w:rFonts w:cs="Tinos"/>
                <w:bCs/>
              </w:rPr>
              <w:t>. Кольцово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EB050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EC9E7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586B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CEDF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D1E3A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D490C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8311E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2A79E0" w14:paraId="42A40DBB" w14:textId="77777777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785E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5EC7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г. Обь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BCDB6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F9BA8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3C05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6A4D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4E7B0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90B00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7E474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2A79E0" w14:paraId="3F1CAB9A" w14:textId="77777777">
        <w:trPr>
          <w:trHeight w:val="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A5BD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FF3B" w14:textId="77777777" w:rsidR="002A79E0" w:rsidRDefault="00A71B98">
            <w:pPr>
              <w:keepNext/>
              <w:keepLines/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Баганский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D3D6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A1A8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3D2F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031F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DAE4D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4AB58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E33F8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2A79E0" w14:paraId="15708705" w14:textId="77777777">
        <w:trPr>
          <w:trHeight w:val="20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0C2F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4DBB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Барабинский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2AC9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301E8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E2D8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74FD7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E96A3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5D983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63873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color w:val="000000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2A79E0" w14:paraId="1EF4880C" w14:textId="77777777">
        <w:trPr>
          <w:trHeight w:val="24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8C62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3C9C" w14:textId="77777777" w:rsidR="002A79E0" w:rsidRDefault="00A71B98">
            <w:pPr>
              <w:keepNext/>
              <w:keepLines/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Болотнинский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7D835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E312E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C04C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16EE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EB4A7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515F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98BCA" w14:textId="77777777" w:rsidR="002A79E0" w:rsidRDefault="00A71B98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21EDB19A" w14:textId="77777777">
        <w:trPr>
          <w:trHeight w:val="22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E8A9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6CFD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Венгеровский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F1EB2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96502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EF77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9E18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4CDE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C89F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66BAE" w14:textId="77777777" w:rsidR="002A79E0" w:rsidRDefault="00A71B98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5FDB5827" w14:textId="77777777">
        <w:trPr>
          <w:trHeight w:val="2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2E0C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10.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58AC" w14:textId="77777777" w:rsidR="002A79E0" w:rsidRDefault="00A71B98">
            <w:pPr>
              <w:keepNext/>
              <w:keepLines/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Доволенский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8C84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82722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06F1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F8E2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8CBD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0095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2FE1B" w14:textId="77777777" w:rsidR="002A79E0" w:rsidRDefault="00A71B98">
            <w:pPr>
              <w:keepNext/>
              <w:keepLines/>
              <w:widowControl w:val="0"/>
              <w:jc w:val="center"/>
              <w:rPr>
                <w:color w:val="000000"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53CD7FF0" w14:textId="77777777">
        <w:trPr>
          <w:trHeight w:val="17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C43A" w14:textId="77777777" w:rsidR="002A79E0" w:rsidRDefault="00A71B98">
            <w:pPr>
              <w:keepNext/>
              <w:keepLines/>
              <w:widowControl w:val="0"/>
              <w:jc w:val="center"/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F323" w14:textId="77777777" w:rsidR="002A79E0" w:rsidRDefault="00A71B98">
            <w:pPr>
              <w:keepNext/>
              <w:keepLines/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Здвинский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9482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2C49B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5B7A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4A1C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D6F88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828B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F6CCA" w14:textId="77777777" w:rsidR="002A79E0" w:rsidRDefault="002A79E0">
            <w:pPr>
              <w:keepNext/>
              <w:keepLines/>
              <w:widowControl w:val="0"/>
              <w:jc w:val="center"/>
              <w:rPr>
                <w:color w:val="000000"/>
              </w:rPr>
            </w:pPr>
          </w:p>
        </w:tc>
      </w:tr>
      <w:tr w:rsidR="002A79E0" w14:paraId="2C680023" w14:textId="77777777">
        <w:trPr>
          <w:trHeight w:val="2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EC1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CFE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Искитимский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778F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8425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0C2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D04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3C50F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B94EF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D6F6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06A46B78" w14:textId="77777777">
        <w:trPr>
          <w:trHeight w:val="22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154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56F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A772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ADD7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7865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78A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AA73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CB45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ED6D5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206ACE04" w14:textId="77777777">
        <w:trPr>
          <w:trHeight w:val="22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960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CC8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Каргатский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03B6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44785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966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D1A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0689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48D41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DB73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</w:tr>
      <w:tr w:rsidR="002A79E0" w14:paraId="161A0420" w14:textId="77777777">
        <w:trPr>
          <w:trHeight w:val="1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2DC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AEE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Колыванский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44E61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B35C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BDD9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4405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E31B4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5C7F1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444A4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2A79E0" w14:paraId="4CF1B068" w14:textId="77777777">
        <w:trPr>
          <w:trHeight w:val="24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EA1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0DA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Коченевский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DFB8F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8728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1C6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5FC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82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3861DB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F0578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51B0A1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</w:tr>
      <w:tr w:rsidR="002A79E0" w14:paraId="6DEAE75A" w14:textId="77777777">
        <w:trPr>
          <w:trHeight w:val="20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6E2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CF5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Кочковский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64280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F2190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8E3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B2C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00085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0C1F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CE2F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4A72DF00" w14:textId="77777777">
        <w:trPr>
          <w:trHeight w:val="23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638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FBC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Краснозерский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DD0A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8B313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305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9B9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9318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E902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D7FF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4967481F" w14:textId="77777777">
        <w:trPr>
          <w:trHeight w:val="22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ECA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7A7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A7F39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99E96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9E1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714F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DA9D5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9365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75B32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39AF0442" w14:textId="77777777">
        <w:trPr>
          <w:trHeight w:val="18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9C6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549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Купинский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CCBED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8021D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E32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607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923B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B508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D6EC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2B258C4F" w14:textId="77777777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348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6BF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Кыштовский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3DB09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6C3F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5A9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F82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5CBB3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713C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EC19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115DAF09" w14:textId="77777777">
        <w:trPr>
          <w:trHeight w:val="11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6CF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324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Маслянинский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2A34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DE4EF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631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410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D4A9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33A4E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09129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</w:tr>
      <w:tr w:rsidR="002A79E0" w14:paraId="7E857B36" w14:textId="77777777">
        <w:trPr>
          <w:trHeight w:val="21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974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62A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Мошковский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E3F3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B2B6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81F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946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0007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DE4C4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DF463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</w:tr>
      <w:tr w:rsidR="002A79E0" w14:paraId="1F35180A" w14:textId="77777777">
        <w:trPr>
          <w:trHeight w:val="22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D38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4E20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0E30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2DA1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4731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82E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CEFFE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FBF95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5AEF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6B45C20F" w14:textId="77777777">
        <w:trPr>
          <w:trHeight w:val="23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EC0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E14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0C88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A759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9CF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50C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4BFD5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0442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3EDC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0CC3BD41" w14:textId="77777777">
        <w:trPr>
          <w:trHeight w:val="22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A05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792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Северный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CACE5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1B917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706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49C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033F9F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CA42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273D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6E545DCE" w14:textId="77777777">
        <w:trPr>
          <w:trHeight w:val="2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238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E5B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Сузунский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D2228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42F9A" w14:textId="77777777" w:rsidR="002A79E0" w:rsidRDefault="00A71B98">
            <w:pPr>
              <w:keepNext/>
              <w:keepLines/>
              <w:widowControl w:val="0"/>
              <w:jc w:val="center"/>
              <w:textAlignment w:val="center"/>
              <w:rPr>
                <w:rFonts w:cs="Tinos"/>
                <w:bCs/>
              </w:rPr>
            </w:pPr>
            <w:r>
              <w:rPr>
                <w:rFonts w:cs="Tinos"/>
                <w:bCs/>
                <w:color w:val="000000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DCF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EE8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1D7F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6869B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6AF6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06745154" w14:textId="77777777">
        <w:trPr>
          <w:trHeight w:val="23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A20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63B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6A75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EAD7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878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CD1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EC7C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2C28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DBFD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75DCCC30" w14:textId="77777777">
        <w:trPr>
          <w:trHeight w:val="11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B0E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2A6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Тогучинский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83F2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BDE2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C12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BAB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87A8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1DB7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D748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</w:tr>
      <w:tr w:rsidR="002A79E0" w14:paraId="552A3C46" w14:textId="77777777">
        <w:trPr>
          <w:trHeight w:val="23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4985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455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Убинский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D6A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7A4A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685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C5D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6FEA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4515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2510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1C393F87" w14:textId="77777777">
        <w:trPr>
          <w:trHeight w:val="20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2A0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941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Усть-Таркский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5693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  <w:lang w:val="en-US"/>
              </w:rPr>
            </w:pPr>
            <w:r>
              <w:rPr>
                <w:rFonts w:cs="Tinos"/>
                <w:bCs/>
              </w:rPr>
              <w:t>--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2063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943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CD8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4F7C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1920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C44D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17147414" w14:textId="77777777">
        <w:trPr>
          <w:trHeight w:val="23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CE9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920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Чановский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F1D9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E034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0FE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67C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94836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4105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2BEF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4DBF2EC8" w14:textId="77777777">
        <w:trPr>
          <w:trHeight w:val="21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EA27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873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Черепановский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38FB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E01D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F66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42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FBA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C3C8E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E3FF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80972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</w:t>
            </w:r>
          </w:p>
        </w:tc>
      </w:tr>
      <w:tr w:rsidR="002A79E0" w14:paraId="7CE374F0" w14:textId="77777777">
        <w:trPr>
          <w:trHeight w:val="1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9CB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5EE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Чистоозерный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C2A1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6B4D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3FD0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2751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7365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CF223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2019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218EBDA9" w14:textId="77777777">
        <w:trPr>
          <w:trHeight w:val="17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03C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25B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proofErr w:type="spellStart"/>
            <w:r>
              <w:rPr>
                <w:rFonts w:cs="Tinos"/>
                <w:bCs/>
              </w:rPr>
              <w:t>Чулымский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496D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B34AF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E62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4CE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13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2EE40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AD208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8735F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  <w:r>
              <w:rPr>
                <w:rFonts w:cs="Tinos"/>
                <w:bCs/>
              </w:rPr>
              <w:t>-</w:t>
            </w:r>
          </w:p>
        </w:tc>
      </w:tr>
      <w:tr w:rsidR="002A79E0" w14:paraId="500FCB00" w14:textId="77777777">
        <w:trPr>
          <w:trHeight w:val="37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AE12" w14:textId="77777777" w:rsidR="002A79E0" w:rsidRDefault="002A79E0">
            <w:pPr>
              <w:keepNext/>
              <w:keepLines/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D2C9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/>
              </w:rPr>
            </w:pPr>
            <w:r>
              <w:rPr>
                <w:rFonts w:cs="Tinos"/>
                <w:b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58BD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/>
              </w:rPr>
            </w:pPr>
            <w:r>
              <w:rPr>
                <w:rFonts w:cs="Tinos"/>
                <w:b/>
              </w:rPr>
              <w:t>28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1DD4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/>
              </w:rPr>
            </w:pPr>
            <w:r>
              <w:rPr>
                <w:rFonts w:cs="Tinos"/>
                <w:b/>
              </w:rPr>
              <w:t>24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3FA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/>
              </w:rPr>
            </w:pPr>
            <w:r>
              <w:rPr>
                <w:rFonts w:cs="Tinos"/>
                <w:b/>
              </w:rPr>
              <w:t>854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E51A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/>
              </w:rPr>
            </w:pPr>
            <w:r>
              <w:rPr>
                <w:rFonts w:cs="Tinos"/>
                <w:b/>
              </w:rPr>
              <w:t>712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2100E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/>
              </w:rPr>
            </w:pPr>
            <w:r>
              <w:rPr>
                <w:rFonts w:cs="Tinos"/>
                <w:b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EBB5C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/>
              </w:rPr>
            </w:pPr>
            <w:r>
              <w:rPr>
                <w:rFonts w:cs="Tinos"/>
                <w:b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7CD5" w14:textId="77777777" w:rsidR="002A79E0" w:rsidRDefault="00A71B98">
            <w:pPr>
              <w:keepNext/>
              <w:keepLines/>
              <w:widowControl w:val="0"/>
              <w:jc w:val="center"/>
              <w:rPr>
                <w:rFonts w:cs="Tinos"/>
                <w:b/>
              </w:rPr>
            </w:pPr>
            <w:r>
              <w:rPr>
                <w:rFonts w:cs="Tinos"/>
                <w:b/>
              </w:rPr>
              <w:t>7</w:t>
            </w:r>
          </w:p>
        </w:tc>
      </w:tr>
    </w:tbl>
    <w:p w14:paraId="08EB8DC1" w14:textId="77777777" w:rsidR="002A79E0" w:rsidRDefault="002A79E0">
      <w:pPr>
        <w:ind w:firstLine="567"/>
        <w:jc w:val="both"/>
        <w:rPr>
          <w:color w:val="C9211E"/>
          <w:sz w:val="16"/>
          <w:szCs w:val="16"/>
          <w:shd w:val="clear" w:color="auto" w:fill="FFFF00"/>
        </w:rPr>
      </w:pPr>
    </w:p>
    <w:p w14:paraId="4FA9D4EB" w14:textId="77777777" w:rsidR="002A79E0" w:rsidRDefault="00A71B98">
      <w:pPr>
        <w:pStyle w:val="aff8"/>
      </w:pPr>
      <w:r>
        <w:rPr>
          <w:rFonts w:ascii="Times New Roman" w:hAnsi="Times New Roman" w:cs="Times New Roman"/>
          <w:sz w:val="26"/>
          <w:szCs w:val="26"/>
        </w:rPr>
        <w:t>За сутки зарегистрирован 1 лесной пожар в Убинском районе на площади 1,5 га (вся лесная). Ликвидирован. Действующих нет.</w:t>
      </w:r>
    </w:p>
    <w:p w14:paraId="415A10DD" w14:textId="77777777" w:rsidR="002A79E0" w:rsidRDefault="00A71B98">
      <w:pPr>
        <w:pStyle w:val="aff8"/>
        <w:rPr>
          <w:color w:val="auto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Государственное автономное учреждение «Новосибирская база авиационной охраны лесов»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авиамониторинг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территории области не проводило. </w:t>
      </w:r>
    </w:p>
    <w:p w14:paraId="3745D1CA" w14:textId="77777777" w:rsidR="002A79E0" w:rsidRDefault="002A79E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shd w:val="clear" w:color="auto" w:fill="FFFF00"/>
        </w:rPr>
      </w:pPr>
    </w:p>
    <w:p w14:paraId="0C8E149E" w14:textId="77777777" w:rsidR="002A79E0" w:rsidRDefault="00A71B98">
      <w:pPr>
        <w:tabs>
          <w:tab w:val="left" w:pos="0"/>
        </w:tabs>
        <w:ind w:firstLine="567"/>
        <w:jc w:val="both"/>
      </w:pPr>
      <w:r>
        <w:rPr>
          <w:b/>
          <w:color w:val="000000"/>
          <w:sz w:val="28"/>
          <w:szCs w:val="28"/>
        </w:rPr>
        <w:t>1.6. Геомагнитная обстановка.</w:t>
      </w:r>
    </w:p>
    <w:p w14:paraId="41B9A9E5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0AB78E63" w14:textId="77777777" w:rsidR="002A79E0" w:rsidRDefault="002A79E0">
      <w:pPr>
        <w:ind w:firstLine="567"/>
        <w:jc w:val="both"/>
        <w:rPr>
          <w:b/>
          <w:color w:val="000000"/>
          <w:sz w:val="28"/>
          <w:szCs w:val="28"/>
        </w:rPr>
      </w:pPr>
    </w:p>
    <w:p w14:paraId="3EDE176C" w14:textId="77777777" w:rsidR="002A79E0" w:rsidRDefault="00A71B98">
      <w:pPr>
        <w:ind w:firstLine="567"/>
        <w:jc w:val="both"/>
      </w:pPr>
      <w:r>
        <w:rPr>
          <w:b/>
          <w:color w:val="000000"/>
          <w:sz w:val="28"/>
          <w:szCs w:val="28"/>
        </w:rPr>
        <w:t>1.7. Сейсмическая обстановка.</w:t>
      </w:r>
    </w:p>
    <w:p w14:paraId="6935718F" w14:textId="77777777" w:rsidR="002A79E0" w:rsidRDefault="00A71B98">
      <w:pPr>
        <w:ind w:firstLine="567"/>
        <w:jc w:val="both"/>
      </w:pPr>
      <w:r>
        <w:rPr>
          <w:bCs/>
          <w:sz w:val="28"/>
          <w:szCs w:val="28"/>
        </w:rPr>
        <w:t>Стабильная.</w:t>
      </w:r>
    </w:p>
    <w:p w14:paraId="4252674C" w14:textId="77777777" w:rsidR="002A79E0" w:rsidRDefault="002A79E0">
      <w:pPr>
        <w:ind w:firstLine="567"/>
        <w:jc w:val="both"/>
        <w:rPr>
          <w:bCs/>
          <w:sz w:val="28"/>
          <w:szCs w:val="28"/>
        </w:rPr>
      </w:pPr>
    </w:p>
    <w:p w14:paraId="6E519B1C" w14:textId="77777777" w:rsidR="002A79E0" w:rsidRDefault="00A71B98">
      <w:pPr>
        <w:ind w:firstLine="567"/>
        <w:jc w:val="both"/>
      </w:pPr>
      <w:r>
        <w:rPr>
          <w:b/>
          <w:color w:val="000000"/>
          <w:sz w:val="28"/>
          <w:szCs w:val="28"/>
        </w:rPr>
        <w:t>1.8. Санитарно-эпидемическая обстановка.</w:t>
      </w:r>
    </w:p>
    <w:p w14:paraId="4BB86C78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7D2615A0" w14:textId="77777777" w:rsidR="002A79E0" w:rsidRDefault="002A79E0">
      <w:pPr>
        <w:ind w:firstLine="567"/>
        <w:jc w:val="both"/>
      </w:pPr>
    </w:p>
    <w:p w14:paraId="391899C1" w14:textId="77777777" w:rsidR="002A79E0" w:rsidRDefault="00A71B98">
      <w:pPr>
        <w:ind w:firstLine="567"/>
        <w:jc w:val="both"/>
      </w:pPr>
      <w:r>
        <w:rPr>
          <w:b/>
          <w:color w:val="000000"/>
          <w:sz w:val="28"/>
          <w:szCs w:val="28"/>
        </w:rPr>
        <w:t>1.9. Эпизоотическая обстановка.</w:t>
      </w:r>
    </w:p>
    <w:p w14:paraId="7FCF5A0D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Стабильная.</w:t>
      </w:r>
    </w:p>
    <w:p w14:paraId="50BE95DD" w14:textId="77777777" w:rsidR="002A79E0" w:rsidRDefault="002A79E0">
      <w:pPr>
        <w:ind w:firstLine="567"/>
        <w:jc w:val="both"/>
        <w:rPr>
          <w:color w:val="000000"/>
          <w:sz w:val="28"/>
          <w:szCs w:val="28"/>
          <w:shd w:val="clear" w:color="auto" w:fill="FFFF00"/>
        </w:rPr>
      </w:pPr>
    </w:p>
    <w:p w14:paraId="3A8823EA" w14:textId="77777777" w:rsidR="002A79E0" w:rsidRDefault="00A71B98">
      <w:pPr>
        <w:ind w:firstLine="567"/>
        <w:jc w:val="both"/>
      </w:pPr>
      <w:r>
        <w:rPr>
          <w:b/>
          <w:color w:val="000000"/>
          <w:sz w:val="28"/>
          <w:szCs w:val="28"/>
        </w:rPr>
        <w:lastRenderedPageBreak/>
        <w:t>1.10. Пожарная обстановка.</w:t>
      </w:r>
    </w:p>
    <w:p w14:paraId="13D69FAD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За прошедшие сутки на территории области зарегистрирован 38 пожаров, из них 19 в жилом секторе, в результате которых травмирован 1 человек, 2 человека погибло (Тогучинский район).</w:t>
      </w:r>
    </w:p>
    <w:p w14:paraId="2BB87742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Причины пожаров:</w:t>
      </w:r>
    </w:p>
    <w:p w14:paraId="5EC3D66C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  неправильное устройство или неисправность печи.</w:t>
      </w:r>
    </w:p>
    <w:p w14:paraId="1A05D6F6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6D145A28" w14:textId="77777777" w:rsidR="002A79E0" w:rsidRDefault="002A79E0">
      <w:pPr>
        <w:ind w:firstLine="567"/>
        <w:jc w:val="both"/>
        <w:rPr>
          <w:b/>
          <w:sz w:val="28"/>
          <w:szCs w:val="28"/>
          <w:shd w:val="clear" w:color="auto" w:fill="FFFF00"/>
        </w:rPr>
      </w:pPr>
    </w:p>
    <w:p w14:paraId="40D3929D" w14:textId="77777777" w:rsidR="002A79E0" w:rsidRDefault="00A71B98">
      <w:pPr>
        <w:ind w:firstLine="567"/>
        <w:jc w:val="both"/>
      </w:pPr>
      <w:r>
        <w:rPr>
          <w:b/>
          <w:color w:val="000000"/>
          <w:sz w:val="28"/>
          <w:szCs w:val="28"/>
        </w:rPr>
        <w:t>1.11. Обстановка на объектах энергетики.</w:t>
      </w:r>
    </w:p>
    <w:p w14:paraId="0FAC6209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6339B44E" w14:textId="77777777" w:rsidR="002A79E0" w:rsidRDefault="002A79E0">
      <w:pPr>
        <w:ind w:firstLine="567"/>
        <w:jc w:val="both"/>
        <w:rPr>
          <w:sz w:val="28"/>
          <w:szCs w:val="28"/>
        </w:rPr>
      </w:pPr>
    </w:p>
    <w:p w14:paraId="37C707A7" w14:textId="77777777" w:rsidR="002A79E0" w:rsidRDefault="00A71B98">
      <w:pPr>
        <w:ind w:firstLine="567"/>
        <w:jc w:val="both"/>
      </w:pPr>
      <w:r>
        <w:rPr>
          <w:b/>
          <w:color w:val="000000"/>
          <w:sz w:val="28"/>
          <w:szCs w:val="28"/>
        </w:rPr>
        <w:t>1.12. Обстановка на объектах ЖКХ.</w:t>
      </w:r>
    </w:p>
    <w:p w14:paraId="697D5A0C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08F46A09" w14:textId="77777777" w:rsidR="002A79E0" w:rsidRDefault="002A79E0">
      <w:pPr>
        <w:ind w:firstLine="567"/>
        <w:jc w:val="both"/>
        <w:rPr>
          <w:color w:val="000000"/>
          <w:sz w:val="28"/>
          <w:szCs w:val="28"/>
          <w:shd w:val="clear" w:color="auto" w:fill="FFFF00"/>
        </w:rPr>
      </w:pPr>
    </w:p>
    <w:p w14:paraId="23948F6C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1.13. Обстановка на водных объектах.</w:t>
      </w:r>
    </w:p>
    <w:p w14:paraId="154EE5E6" w14:textId="77777777" w:rsidR="002A79E0" w:rsidRDefault="00A71B98">
      <w:pPr>
        <w:ind w:firstLine="567"/>
        <w:jc w:val="both"/>
      </w:pPr>
      <w:r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0ED65CDC" w14:textId="77777777" w:rsidR="002A79E0" w:rsidRDefault="002A79E0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50B50F28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1.14. Обстановка на дорогах.</w:t>
      </w:r>
    </w:p>
    <w:p w14:paraId="4D1343F4" w14:textId="77777777" w:rsidR="002A79E0" w:rsidRDefault="00A71B98">
      <w:pPr>
        <w:ind w:firstLine="567"/>
        <w:jc w:val="both"/>
      </w:pPr>
      <w:bookmarkStart w:id="0" w:name="_Hlk133589652"/>
      <w:r>
        <w:rPr>
          <w:bCs/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11 человек травмировано, погибших нет.</w:t>
      </w:r>
    </w:p>
    <w:p w14:paraId="7722B9FC" w14:textId="77777777" w:rsidR="002A79E0" w:rsidRDefault="00A71B98">
      <w:pPr>
        <w:ind w:firstLine="567"/>
        <w:jc w:val="both"/>
      </w:pPr>
      <w:r>
        <w:rPr>
          <w:bCs/>
          <w:color w:val="000000"/>
          <w:sz w:val="28"/>
          <w:szCs w:val="28"/>
        </w:rPr>
        <w:t>Автомобильные дороги в проезжем состоянии.</w:t>
      </w:r>
    </w:p>
    <w:p w14:paraId="0A45EA4B" w14:textId="77777777" w:rsidR="002A79E0" w:rsidRDefault="002A79E0">
      <w:pPr>
        <w:ind w:firstLine="567"/>
        <w:jc w:val="both"/>
        <w:rPr>
          <w:bCs/>
          <w:sz w:val="28"/>
          <w:szCs w:val="28"/>
        </w:rPr>
      </w:pPr>
    </w:p>
    <w:p w14:paraId="3739E888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 w14:paraId="439A8678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0251273"/>
      <w:bookmarkStart w:id="3" w:name="_Hlk99801931"/>
      <w:bookmarkStart w:id="4" w:name="_Hlk101450800"/>
      <w:bookmarkStart w:id="5" w:name="_Hlk112072656"/>
      <w:bookmarkStart w:id="6" w:name="_Hlk116826015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1A257400" w14:textId="77777777" w:rsidR="002A79E0" w:rsidRDefault="00A71B98">
      <w:pPr>
        <w:ind w:firstLine="567"/>
        <w:jc w:val="both"/>
      </w:pPr>
      <w:r>
        <w:rPr>
          <w:bCs/>
          <w:color w:val="000000"/>
          <w:sz w:val="28"/>
          <w:szCs w:val="28"/>
        </w:rPr>
        <w:t>Переменная облачность,  в отдельных районах небольшие дожди.</w:t>
      </w:r>
    </w:p>
    <w:p w14:paraId="29DFE5A4" w14:textId="77777777" w:rsidR="002A79E0" w:rsidRDefault="00A71B98">
      <w:pPr>
        <w:ind w:firstLine="567"/>
        <w:jc w:val="both"/>
      </w:pPr>
      <w:r>
        <w:rPr>
          <w:bCs/>
          <w:color w:val="000000"/>
          <w:sz w:val="28"/>
          <w:szCs w:val="28"/>
        </w:rPr>
        <w:t>Ветер ночью юго-западный 2-7 м/с, местами порывы до 12 м/с, днём с переходом на северо-западный 5-10 м/с, местами порывы до 20 м/с.</w:t>
      </w:r>
    </w:p>
    <w:p w14:paraId="0D797C8E" w14:textId="77777777" w:rsidR="002A79E0" w:rsidRDefault="00A71B98">
      <w:pPr>
        <w:ind w:firstLine="567"/>
        <w:jc w:val="both"/>
      </w:pPr>
      <w:r>
        <w:rPr>
          <w:bCs/>
          <w:color w:val="000000"/>
          <w:sz w:val="28"/>
          <w:szCs w:val="28"/>
        </w:rPr>
        <w:t>Температура воздуха ночью +4, +9 °С, днём +10, +15°С.</w:t>
      </w:r>
    </w:p>
    <w:p w14:paraId="08ABFB00" w14:textId="77777777" w:rsidR="002A79E0" w:rsidRDefault="002A79E0">
      <w:pPr>
        <w:ind w:firstLine="567"/>
        <w:jc w:val="both"/>
        <w:rPr>
          <w:b/>
          <w:color w:val="C9211E"/>
          <w:sz w:val="28"/>
          <w:szCs w:val="28"/>
          <w:shd w:val="clear" w:color="auto" w:fill="FFFF00"/>
        </w:rPr>
      </w:pPr>
    </w:p>
    <w:p w14:paraId="48C8F74E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2.2. Прогноз экологической обстановки.</w:t>
      </w:r>
    </w:p>
    <w:p w14:paraId="60C4500A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663F6E44" w14:textId="77777777" w:rsidR="002A79E0" w:rsidRDefault="002A79E0">
      <w:pPr>
        <w:ind w:firstLine="567"/>
        <w:jc w:val="both"/>
        <w:rPr>
          <w:sz w:val="28"/>
          <w:szCs w:val="28"/>
          <w:shd w:val="clear" w:color="auto" w:fill="FFFF00"/>
          <w:lang w:eastAsia="ru-RU"/>
        </w:rPr>
      </w:pPr>
    </w:p>
    <w:p w14:paraId="2A76105B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2.3. Прогноз гидрологической обстановки.</w:t>
      </w:r>
    </w:p>
    <w:p w14:paraId="0E5E2AE2" w14:textId="77777777" w:rsidR="002A79E0" w:rsidRDefault="00A71B98">
      <w:pPr>
        <w:tabs>
          <w:tab w:val="left" w:pos="0"/>
        </w:tabs>
        <w:ind w:firstLine="567"/>
        <w:jc w:val="both"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D9FDFF1" w14:textId="77777777" w:rsidR="002A79E0" w:rsidRDefault="00A71B98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1300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30 ± 10 см</w:t>
      </w:r>
      <w:r>
        <w:rPr>
          <w:color w:val="000000"/>
          <w:sz w:val="28"/>
          <w:szCs w:val="28"/>
        </w:rPr>
        <w:t>.</w:t>
      </w:r>
    </w:p>
    <w:p w14:paraId="095EF11A" w14:textId="77777777" w:rsidR="002A79E0" w:rsidRDefault="002A79E0">
      <w:pPr>
        <w:tabs>
          <w:tab w:val="left" w:pos="0"/>
        </w:tabs>
        <w:ind w:firstLine="567"/>
        <w:rPr>
          <w:b/>
          <w:sz w:val="28"/>
          <w:szCs w:val="28"/>
          <w:shd w:val="clear" w:color="auto" w:fill="FFFF00"/>
        </w:rPr>
      </w:pPr>
    </w:p>
    <w:p w14:paraId="1A54300A" w14:textId="77777777" w:rsidR="002A79E0" w:rsidRDefault="00A71B98">
      <w:pPr>
        <w:tabs>
          <w:tab w:val="left" w:pos="0"/>
        </w:tabs>
        <w:ind w:firstLine="567"/>
      </w:pPr>
      <w:r>
        <w:rPr>
          <w:b/>
          <w:sz w:val="28"/>
          <w:szCs w:val="28"/>
        </w:rPr>
        <w:t>2.4. Прогноз геомагнитной обстановки.</w:t>
      </w:r>
    </w:p>
    <w:p w14:paraId="2AC3AEF3" w14:textId="77777777" w:rsidR="002A79E0" w:rsidRDefault="00A71B98">
      <w:pPr>
        <w:tabs>
          <w:tab w:val="left" w:pos="0"/>
        </w:tabs>
        <w:ind w:firstLine="567"/>
        <w:jc w:val="both"/>
      </w:pPr>
      <w:r>
        <w:rPr>
          <w:color w:val="000000"/>
          <w:sz w:val="28"/>
          <w:szCs w:val="28"/>
        </w:rPr>
        <w:t>Магнитное поле Земли возможно слабо возмущенное. Ухудшение условий КВ-радиосвязи возможно в отдельные часы суток. Озоновый слой ниже нормы.</w:t>
      </w:r>
    </w:p>
    <w:p w14:paraId="301B6669" w14:textId="77777777" w:rsidR="002A79E0" w:rsidRDefault="002A79E0">
      <w:pPr>
        <w:ind w:firstLine="567"/>
        <w:jc w:val="both"/>
        <w:rPr>
          <w:shd w:val="clear" w:color="auto" w:fill="FFFF00"/>
        </w:rPr>
      </w:pPr>
    </w:p>
    <w:p w14:paraId="2634A496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 </w:t>
      </w:r>
      <w:proofErr w:type="spellStart"/>
      <w:r>
        <w:rPr>
          <w:b/>
          <w:sz w:val="28"/>
          <w:szCs w:val="28"/>
        </w:rPr>
        <w:t>лесопожарной</w:t>
      </w:r>
      <w:proofErr w:type="spellEnd"/>
      <w:r>
        <w:rPr>
          <w:b/>
          <w:sz w:val="28"/>
          <w:szCs w:val="28"/>
        </w:rPr>
        <w:t xml:space="preserve"> обстановки.</w:t>
      </w:r>
    </w:p>
    <w:p w14:paraId="4C9ACB2F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По данным ФГБУ «</w:t>
      </w:r>
      <w:proofErr w:type="spellStart"/>
      <w:r>
        <w:rPr>
          <w:color w:val="000000"/>
          <w:sz w:val="28"/>
          <w:szCs w:val="28"/>
        </w:rPr>
        <w:t>Западно</w:t>
      </w:r>
      <w:proofErr w:type="spellEnd"/>
      <w:r>
        <w:rPr>
          <w:color w:val="000000"/>
          <w:sz w:val="28"/>
          <w:szCs w:val="28"/>
        </w:rPr>
        <w:t xml:space="preserve"> - Сибирское УГМС» на всей территории Новосибирской области и г. Новосибирск сохранится высокая пожароопасность 4 класса.</w:t>
      </w:r>
    </w:p>
    <w:p w14:paraId="6971A8DB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В связи с высокой пожароопасностью 4 класса и порывами ветра до 20 м/с, возможно возникновение лесных и ландшафтных пожаров, в том числе с риском перехода на населенные пункты.</w:t>
      </w:r>
    </w:p>
    <w:p w14:paraId="4867D125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Ос</w:t>
      </w:r>
      <w:r>
        <w:rPr>
          <w:sz w:val="28"/>
          <w:szCs w:val="28"/>
        </w:rPr>
        <w:t>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14:paraId="51CF4E62" w14:textId="77777777" w:rsidR="002A79E0" w:rsidRDefault="002A79E0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18FEEC8E" w14:textId="77777777" w:rsidR="002A79E0" w:rsidRDefault="00A71B98">
      <w:pPr>
        <w:ind w:firstLine="567"/>
      </w:pPr>
      <w:r>
        <w:rPr>
          <w:b/>
          <w:sz w:val="28"/>
          <w:szCs w:val="28"/>
        </w:rPr>
        <w:t>2.6. Прогноз сейсмической обстановки.</w:t>
      </w:r>
    </w:p>
    <w:p w14:paraId="06C5CD18" w14:textId="77777777" w:rsidR="002A79E0" w:rsidRDefault="00A71B98">
      <w:pPr>
        <w:ind w:firstLine="567"/>
      </w:pPr>
      <w:r>
        <w:rPr>
          <w:sz w:val="28"/>
          <w:szCs w:val="28"/>
        </w:rPr>
        <w:t>ЧС, вызванные сейсмической активностью, маловероятны.</w:t>
      </w:r>
    </w:p>
    <w:p w14:paraId="6D59CC76" w14:textId="77777777" w:rsidR="002A79E0" w:rsidRDefault="002A79E0">
      <w:pPr>
        <w:ind w:firstLine="567"/>
        <w:rPr>
          <w:sz w:val="28"/>
          <w:szCs w:val="28"/>
        </w:rPr>
      </w:pPr>
    </w:p>
    <w:p w14:paraId="2905B44B" w14:textId="77777777" w:rsidR="002A79E0" w:rsidRDefault="00A71B98">
      <w:pPr>
        <w:ind w:firstLine="567"/>
      </w:pPr>
      <w:r>
        <w:rPr>
          <w:b/>
          <w:sz w:val="28"/>
          <w:szCs w:val="28"/>
        </w:rPr>
        <w:t>2.7. Санитарно-эпидемический прогноз.</w:t>
      </w:r>
      <w:bookmarkStart w:id="7" w:name="_Hlk78032653"/>
      <w:bookmarkEnd w:id="7"/>
    </w:p>
    <w:p w14:paraId="5AE26A99" w14:textId="77777777" w:rsidR="002A79E0" w:rsidRDefault="00A71B98">
      <w:pPr>
        <w:ind w:firstLine="567"/>
        <w:jc w:val="both"/>
      </w:pPr>
      <w:r>
        <w:rPr>
          <w:sz w:val="28"/>
          <w:szCs w:val="28"/>
        </w:rPr>
        <w:t>Возникновение ЧС маловероятно.</w:t>
      </w:r>
    </w:p>
    <w:p w14:paraId="3B20691E" w14:textId="77777777" w:rsidR="002A79E0" w:rsidRDefault="00A71B98">
      <w:pPr>
        <w:ind w:firstLine="567"/>
        <w:jc w:val="both"/>
      </w:pPr>
      <w:r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56D6F33" w14:textId="77777777" w:rsidR="002A79E0" w:rsidRDefault="00A71B98">
      <w:pPr>
        <w:ind w:firstLine="567"/>
        <w:jc w:val="both"/>
      </w:pPr>
      <w:r>
        <w:rPr>
          <w:sz w:val="28"/>
          <w:szCs w:val="28"/>
          <w:lang w:eastAsia="ar-SA"/>
        </w:rPr>
        <w:t xml:space="preserve">По данным </w:t>
      </w:r>
      <w:r>
        <w:rPr>
          <w:sz w:val="28"/>
          <w:szCs w:val="28"/>
        </w:rPr>
        <w:t>Роспотребнадзора по Новосибирской области</w:t>
      </w:r>
      <w:r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</w:t>
      </w:r>
      <w:proofErr w:type="spellStart"/>
      <w:r>
        <w:rPr>
          <w:sz w:val="28"/>
          <w:szCs w:val="28"/>
          <w:lang w:eastAsia="ar-SA"/>
        </w:rPr>
        <w:t>Болотнинский</w:t>
      </w:r>
      <w:proofErr w:type="spellEnd"/>
      <w:r>
        <w:rPr>
          <w:sz w:val="28"/>
          <w:szCs w:val="28"/>
          <w:lang w:eastAsia="ar-SA"/>
        </w:rPr>
        <w:t xml:space="preserve">, Венгеровский, </w:t>
      </w:r>
      <w:proofErr w:type="spellStart"/>
      <w:r>
        <w:rPr>
          <w:sz w:val="28"/>
          <w:szCs w:val="28"/>
          <w:lang w:eastAsia="ar-SA"/>
        </w:rPr>
        <w:t>Искитимский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Колыванский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Коченевский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Кыштовский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Маслянинский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Мошковский</w:t>
      </w:r>
      <w:proofErr w:type="spellEnd"/>
      <w:r>
        <w:rPr>
          <w:sz w:val="28"/>
          <w:szCs w:val="28"/>
          <w:lang w:eastAsia="ar-SA"/>
        </w:rPr>
        <w:t xml:space="preserve">, Новосибирский, Ордынский, Северный, Сузунский, Тогучинский, </w:t>
      </w:r>
      <w:proofErr w:type="spellStart"/>
      <w:r>
        <w:rPr>
          <w:sz w:val="28"/>
          <w:szCs w:val="28"/>
          <w:lang w:eastAsia="ar-SA"/>
        </w:rPr>
        <w:t>Черепановский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Краснозерский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Усть-Таркский</w:t>
      </w:r>
      <w:proofErr w:type="spellEnd"/>
      <w:r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Каргатский</w:t>
      </w:r>
      <w:proofErr w:type="spellEnd"/>
      <w:r>
        <w:rPr>
          <w:sz w:val="28"/>
          <w:szCs w:val="28"/>
          <w:lang w:eastAsia="ar-SA"/>
        </w:rPr>
        <w:t xml:space="preserve"> и </w:t>
      </w:r>
      <w:proofErr w:type="spellStart"/>
      <w:r>
        <w:rPr>
          <w:sz w:val="28"/>
          <w:szCs w:val="28"/>
          <w:lang w:eastAsia="ar-SA"/>
        </w:rPr>
        <w:t>Чулымский</w:t>
      </w:r>
      <w:proofErr w:type="spellEnd"/>
      <w:r>
        <w:rPr>
          <w:sz w:val="28"/>
          <w:szCs w:val="28"/>
          <w:lang w:eastAsia="ar-SA"/>
        </w:rPr>
        <w:t>) и 3 города (Бердск, Новосибирск, Обь).</w:t>
      </w:r>
    </w:p>
    <w:p w14:paraId="324FE66C" w14:textId="77777777" w:rsidR="002A79E0" w:rsidRDefault="00A71B98">
      <w:pPr>
        <w:ind w:firstLine="567"/>
        <w:jc w:val="both"/>
      </w:pPr>
      <w:r>
        <w:rPr>
          <w:sz w:val="28"/>
          <w:szCs w:val="28"/>
          <w:lang w:eastAsia="ar-SA"/>
        </w:rPr>
        <w:t>Возможен сезонный рост заболеваемости населения ОРВИ.</w:t>
      </w:r>
    </w:p>
    <w:p w14:paraId="3E47907B" w14:textId="77777777" w:rsidR="002A79E0" w:rsidRDefault="002A79E0">
      <w:pPr>
        <w:ind w:firstLine="567"/>
        <w:jc w:val="both"/>
        <w:rPr>
          <w:sz w:val="28"/>
          <w:szCs w:val="28"/>
          <w:lang w:eastAsia="ar-SA"/>
        </w:rPr>
      </w:pPr>
    </w:p>
    <w:p w14:paraId="5A7E90F4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2.8. Прогноз эпизоотической обстановки.</w:t>
      </w:r>
    </w:p>
    <w:p w14:paraId="448BCB6A" w14:textId="77777777" w:rsidR="002A79E0" w:rsidRDefault="00A71B98">
      <w:pPr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42077521" w14:textId="77777777" w:rsidR="002A79E0" w:rsidRDefault="00A71B98">
      <w:pPr>
        <w:shd w:val="clear" w:color="auto" w:fill="FFFFFF"/>
        <w:ind w:firstLine="567"/>
        <w:jc w:val="both"/>
      </w:pPr>
      <w:r>
        <w:rPr>
          <w:b/>
          <w:sz w:val="28"/>
          <w:szCs w:val="28"/>
        </w:rPr>
        <w:t>2.9. Прогноз пожарной обстановки.</w:t>
      </w:r>
    </w:p>
    <w:p w14:paraId="332541BD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 xml:space="preserve">В связи с понижением ночных температур увеличивается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14:paraId="3757C5D4" w14:textId="77777777" w:rsidR="002A79E0" w:rsidRDefault="00A71B98">
      <w:pPr>
        <w:ind w:firstLine="567"/>
        <w:jc w:val="both"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14:paraId="3D4D2B82" w14:textId="77777777" w:rsidR="002A79E0" w:rsidRDefault="002A79E0">
      <w:pPr>
        <w:ind w:firstLine="567"/>
        <w:jc w:val="both"/>
        <w:rPr>
          <w:b/>
          <w:sz w:val="28"/>
          <w:szCs w:val="28"/>
        </w:rPr>
      </w:pPr>
    </w:p>
    <w:p w14:paraId="548AFDBB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2.10. Прогноз обстановки на объектах энергетики.</w:t>
      </w:r>
    </w:p>
    <w:p w14:paraId="7334D129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14:paraId="4C49171E" w14:textId="77777777" w:rsidR="002A79E0" w:rsidRDefault="002A79E0">
      <w:pPr>
        <w:ind w:firstLine="567"/>
        <w:jc w:val="both"/>
      </w:pPr>
    </w:p>
    <w:p w14:paraId="2B08B23E" w14:textId="77777777" w:rsidR="002A79E0" w:rsidRDefault="002A79E0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07AAADEC" w14:textId="77777777" w:rsidR="002A79E0" w:rsidRDefault="00A71B98">
      <w:pPr>
        <w:ind w:firstLine="567"/>
        <w:jc w:val="both"/>
      </w:pPr>
      <w:r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14:paraId="39DEEF75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В связи с прогнозируемыми порывами ветра до 20 м/с, возможно падение слабо закрепленных конструкций и аварийных деревьев.</w:t>
      </w:r>
    </w:p>
    <w:p w14:paraId="3895223D" w14:textId="77777777" w:rsidR="002A79E0" w:rsidRDefault="00A71B98">
      <w:pPr>
        <w:ind w:firstLine="567"/>
        <w:jc w:val="both"/>
      </w:pPr>
      <w:r>
        <w:rPr>
          <w:sz w:val="28"/>
          <w:szCs w:val="28"/>
        </w:rPr>
        <w:t>Продолжатся плановые работы по обеспечению нормативного эксплуатационного запаса угля к проведению отопительного сезона и формированию аварийного запаса материально-технических ресурсов для ликвидации чрезвычайных ситуаций.</w:t>
      </w:r>
    </w:p>
    <w:p w14:paraId="4C4F439E" w14:textId="77777777" w:rsidR="002A79E0" w:rsidRDefault="00A71B98">
      <w:pPr>
        <w:ind w:firstLine="567"/>
        <w:jc w:val="both"/>
      </w:pPr>
      <w:r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началом отопительного сезона, с наибольшей вероятностью в городах Новосибирск, Искитим, Бердск, Куйбышев, Новосибирском,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 xml:space="preserve">, Тогучинском, Краснозерском,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Мошковском</w:t>
      </w:r>
      <w:proofErr w:type="spellEnd"/>
      <w:r>
        <w:rPr>
          <w:sz w:val="28"/>
          <w:szCs w:val="28"/>
        </w:rPr>
        <w:t xml:space="preserve">, Ордынском и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 районах Новосибирской области.</w:t>
      </w:r>
    </w:p>
    <w:p w14:paraId="17E1ECDA" w14:textId="77777777" w:rsidR="002A79E0" w:rsidRDefault="002A79E0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5148229D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2.12.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 w14:paraId="5764BC72" w14:textId="77777777" w:rsidR="002A79E0" w:rsidRDefault="00A71B98">
      <w:pPr>
        <w:ind w:firstLine="567"/>
        <w:jc w:val="both"/>
      </w:pPr>
      <w:r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</w:p>
    <w:p w14:paraId="4E9E5255" w14:textId="77777777" w:rsidR="002A79E0" w:rsidRDefault="002A79E0">
      <w:pPr>
        <w:ind w:firstLine="567"/>
        <w:jc w:val="both"/>
        <w:rPr>
          <w:b/>
          <w:sz w:val="28"/>
          <w:szCs w:val="28"/>
        </w:rPr>
      </w:pPr>
    </w:p>
    <w:p w14:paraId="2AC95674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14:paraId="0906763D" w14:textId="77777777" w:rsidR="002A79E0" w:rsidRDefault="00A71B98">
      <w:pPr>
        <w:ind w:firstLine="567"/>
        <w:jc w:val="both"/>
      </w:pPr>
      <w:r>
        <w:rPr>
          <w:bCs/>
          <w:sz w:val="28"/>
          <w:szCs w:val="28"/>
        </w:rPr>
        <w:t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в связи с сезоном охоты и сбором дикоросов</w:t>
      </w:r>
      <w:r>
        <w:rPr>
          <w:sz w:val="28"/>
          <w:szCs w:val="28"/>
        </w:rPr>
        <w:t>.</w:t>
      </w:r>
    </w:p>
    <w:p w14:paraId="57F2AA52" w14:textId="77777777" w:rsidR="002A79E0" w:rsidRDefault="002A79E0">
      <w:pPr>
        <w:ind w:firstLine="567"/>
        <w:jc w:val="both"/>
        <w:rPr>
          <w:b/>
          <w:sz w:val="28"/>
          <w:szCs w:val="28"/>
          <w:shd w:val="clear" w:color="auto" w:fill="FFFF00"/>
        </w:rPr>
      </w:pPr>
    </w:p>
    <w:p w14:paraId="137CF36B" w14:textId="77777777" w:rsidR="002A79E0" w:rsidRDefault="00A71B98">
      <w:pPr>
        <w:ind w:firstLine="567"/>
        <w:jc w:val="both"/>
      </w:pPr>
      <w:r>
        <w:rPr>
          <w:b/>
          <w:sz w:val="28"/>
          <w:szCs w:val="28"/>
        </w:rPr>
        <w:t>2.14. Прогноз обстановки на дорогах.</w:t>
      </w:r>
    </w:p>
    <w:p w14:paraId="3B930B5D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 xml:space="preserve">Большое количество автотранспорта, проведение ремонтных работ дорожного полотна и теплотрасс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 w14:paraId="1327D12B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14:paraId="7990250D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14:paraId="29EA5A09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1E8CDDEB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0,765 км, крутой спуск (подъём));</w:t>
      </w:r>
    </w:p>
    <w:p w14:paraId="1D2A4143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0,413 км, крутой спуск (подъём));</w:t>
      </w:r>
    </w:p>
    <w:p w14:paraId="7916665A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2,012 км, крутой спуск (подъём));</w:t>
      </w:r>
    </w:p>
    <w:p w14:paraId="6B6181AE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Р-256 «Чуйский тракт» - с 96,527 км по 98,205 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1,678 км, крутой спуск (подъём));</w:t>
      </w:r>
    </w:p>
    <w:p w14:paraId="16B8DB23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4CBB88FC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1,073 км, крутой спуск (подъём));</w:t>
      </w:r>
    </w:p>
    <w:p w14:paraId="5182F906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0,779 км, опасный поворот);</w:t>
      </w:r>
    </w:p>
    <w:p w14:paraId="28982DFA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1,641км, опасный поворот);</w:t>
      </w:r>
    </w:p>
    <w:p w14:paraId="71289EA4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1,370 км, опасный поворот);</w:t>
      </w:r>
    </w:p>
    <w:p w14:paraId="3E5AFD14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1,443 км, крутой спуск (подъём));</w:t>
      </w:r>
    </w:p>
    <w:p w14:paraId="43ABB9B6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1,649 км, опасный поворот);</w:t>
      </w:r>
    </w:p>
    <w:p w14:paraId="2E0065F7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1,350 км, опасный поворот);</w:t>
      </w:r>
    </w:p>
    <w:p w14:paraId="60548F51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1,945 км, крутой спуск (подъём));</w:t>
      </w:r>
    </w:p>
    <w:p w14:paraId="270B076B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0,677 км, опасный поворот);</w:t>
      </w:r>
    </w:p>
    <w:p w14:paraId="6D286A69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1,270 км, опасный поворот);</w:t>
      </w:r>
    </w:p>
    <w:p w14:paraId="4287367B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1,650 км, опасный поворот);</w:t>
      </w:r>
    </w:p>
    <w:p w14:paraId="5841DBBB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0,757 км, крутой спуск (подъём)).</w:t>
      </w:r>
    </w:p>
    <w:p w14:paraId="719786F9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14:paraId="5D21E9D4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14:paraId="79144F17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14:paraId="1B2B26D6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14:paraId="617D8E6C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14:paraId="28CDA54B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 xml:space="preserve">- К-12 – с 16 по 25 км </w:t>
      </w:r>
      <w:proofErr w:type="spellStart"/>
      <w:r>
        <w:rPr>
          <w:color w:val="000000"/>
          <w:sz w:val="28"/>
          <w:szCs w:val="28"/>
        </w:rPr>
        <w:t>Колыванского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14:paraId="744B02D6" w14:textId="77777777" w:rsidR="002A79E0" w:rsidRDefault="00A71B98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9" w:name="_Hlk84255620"/>
    </w:p>
    <w:p w14:paraId="7CB8CEB7" w14:textId="77777777" w:rsidR="002A79E0" w:rsidRDefault="002A79E0">
      <w:pPr>
        <w:ind w:firstLine="567"/>
        <w:jc w:val="both"/>
        <w:rPr>
          <w:bCs/>
          <w:color w:val="000000"/>
          <w:sz w:val="28"/>
          <w:szCs w:val="28"/>
        </w:rPr>
      </w:pPr>
    </w:p>
    <w:p w14:paraId="40102367" w14:textId="77777777" w:rsidR="002A79E0" w:rsidRDefault="002A79E0">
      <w:pPr>
        <w:jc w:val="both"/>
        <w:rPr>
          <w:color w:val="000000"/>
          <w:sz w:val="16"/>
          <w:szCs w:val="16"/>
        </w:rPr>
      </w:pPr>
      <w:bookmarkStart w:id="10" w:name="_GoBack"/>
      <w:bookmarkEnd w:id="9"/>
      <w:bookmarkEnd w:id="10"/>
    </w:p>
    <w:p w14:paraId="462AEFB3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783A723A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753D10DB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42BC9014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56F0261B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55F2C7A7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5DE23672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4A4F9904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6AAE13FB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334162BF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6E75F5B4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3E5FDCB2" w14:textId="77777777" w:rsidR="002A79E0" w:rsidRDefault="002A79E0">
      <w:pPr>
        <w:jc w:val="both"/>
        <w:rPr>
          <w:color w:val="000000"/>
          <w:sz w:val="16"/>
          <w:szCs w:val="16"/>
        </w:rPr>
      </w:pPr>
    </w:p>
    <w:p w14:paraId="7EA27E7D" w14:textId="77777777" w:rsidR="002A79E0" w:rsidRDefault="002A79E0">
      <w:pPr>
        <w:jc w:val="both"/>
        <w:rPr>
          <w:color w:val="000000"/>
          <w:sz w:val="16"/>
          <w:szCs w:val="16"/>
        </w:rPr>
      </w:pPr>
    </w:p>
    <w:sectPr w:rsidR="002A79E0">
      <w:headerReference w:type="default" r:id="rId8"/>
      <w:pgSz w:w="11906" w:h="16838"/>
      <w:pgMar w:top="993" w:right="567" w:bottom="567" w:left="1276" w:header="284" w:footer="0" w:gutter="0"/>
      <w:cols w:space="720"/>
      <w:formProt w:val="0"/>
      <w:titlePg/>
      <w:docGrid w:linePitch="360" w:charSpace="319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52CD8" w14:textId="77777777" w:rsidR="00234588" w:rsidRDefault="00234588">
      <w:r>
        <w:separator/>
      </w:r>
    </w:p>
  </w:endnote>
  <w:endnote w:type="continuationSeparator" w:id="0">
    <w:p w14:paraId="764E46D3" w14:textId="77777777" w:rsidR="00234588" w:rsidRDefault="0023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B7D95" w14:textId="77777777" w:rsidR="00234588" w:rsidRDefault="00234588">
      <w:r>
        <w:separator/>
      </w:r>
    </w:p>
  </w:footnote>
  <w:footnote w:type="continuationSeparator" w:id="0">
    <w:p w14:paraId="38C19096" w14:textId="77777777" w:rsidR="00234588" w:rsidRDefault="0023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502F" w14:textId="77777777" w:rsidR="002A79E0" w:rsidRDefault="00A71B98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71294"/>
    <w:multiLevelType w:val="multilevel"/>
    <w:tmpl w:val="DFD0B59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83047D"/>
    <w:multiLevelType w:val="multilevel"/>
    <w:tmpl w:val="D22678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1C406DE"/>
    <w:multiLevelType w:val="multilevel"/>
    <w:tmpl w:val="3064DEA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 w15:restartNumberingAfterBreak="0">
    <w:nsid w:val="7C96633B"/>
    <w:multiLevelType w:val="multilevel"/>
    <w:tmpl w:val="17F676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9E0"/>
    <w:rsid w:val="00220FC2"/>
    <w:rsid w:val="00234588"/>
    <w:rsid w:val="002A79E0"/>
    <w:rsid w:val="00A71B98"/>
    <w:rsid w:val="00E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F88A"/>
  <w15:docId w15:val="{2A1375F4-6D92-462B-923B-CDC037F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qFormat/>
    <w:rPr>
      <w:color w:val="0000FF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b">
    <w:name w:val="List"/>
    <w:basedOn w:val="afa"/>
    <w:qFormat/>
    <w:rPr>
      <w:rFonts w:cs="Mangal"/>
    </w:rPr>
  </w:style>
  <w:style w:type="paragraph" w:styleId="afc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a"/>
    <w:next w:val="1c"/>
    <w:qFormat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">
    <w:name w:val="annotation text"/>
    <w:basedOn w:val="a"/>
    <w:uiPriority w:val="99"/>
    <w:semiHidden/>
    <w:unhideWhenUsed/>
    <w:qFormat/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aff0">
    <w:name w:val="annotation subject"/>
    <w:next w:val="aff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styleId="aff2">
    <w:name w:val="header"/>
    <w:basedOn w:val="aff1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4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e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1">
    <w:name w:val="Заголовок1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uiPriority w:val="99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fa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styleId="affd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1239-A8FF-4D95-9DB3-80177376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39617</TotalTime>
  <Pages>6</Pages>
  <Words>1911</Words>
  <Characters>10897</Characters>
  <Application>Microsoft Office Word</Application>
  <DocSecurity>0</DocSecurity>
  <Lines>90</Lines>
  <Paragraphs>25</Paragraphs>
  <ScaleCrop>false</ScaleCrop>
  <Company>Microsoft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848</cp:revision>
  <dcterms:created xsi:type="dcterms:W3CDTF">2024-03-11T22:54:00Z</dcterms:created>
  <dcterms:modified xsi:type="dcterms:W3CDTF">2024-10-06T09:41:00Z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