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hanging="0"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hanging="0"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09.01.2025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09-20-3-2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hanging="0"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на территории Новосибирской области на 10.01.2025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  <w:shd w:fill="auto" w:val="clear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  <w:shd w:fill="auto" w:val="clear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  <w:shd w:fill="auto" w:val="clear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hanging="0" w:left="-57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По данным Службы МОС в г.Новосибирск превышений ПДК нет.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По данным КЛМС 'Искитим' в гг.Искитим и Бердск: в г.Искитим превышений ПДК нет.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112,58 мБС (Балтийской системы измерений), сброс 735 м³/с, приток 519 м³/с. Уровень воды в реке Обь в районе г. Новосибирска находится на отметке 4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территории Усть-Таркского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За прошедшие сутки на территории области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зарегистрировано 4 техногенных пожара</w:t>
      </w:r>
      <w:r>
        <w:rPr>
          <w:rFonts w:eastAsia="Arial" w:cs="Times New Roman" w:ascii="Times New Roman" w:hAnsi="Times New Roman" w:eastAsiaTheme="minorEastAsia"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 (г. Новосибирск: Кировский, Октябрьский, Ленинский (2) районы), из них 1 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 жилом секторе, в  результате которых погибших и травмированных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пожаров: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прочие причины по группе нарушение правил установки и эксплуатации эл. оборудования.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shd w:fill="auto" w:val="clear"/>
        </w:rPr>
        <w:t>В остальных случаях 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  <w:highlight w:val="none"/>
          <w:shd w:fill="FFFF00" w:val="clear"/>
        </w:rPr>
      </w:pPr>
      <w:r>
        <w:rPr>
          <w:rFonts w:ascii="Times New Roman" w:hAnsi="Times New Roman"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На территории области функционирует 1 ледовая переправа в Ордынском районе: «н.п. Ордынское - н.п. Нижнекаменка», грузоподъемностью 5 тонн.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Безопасность на ледовой переправе обеспечивается двумя спасательными постами (задействовано 5 человек и 3 ед. техники). Переправа обслуживается дежурной сменой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0"/>
          <w:szCs w:val="20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0"/>
          <w:szCs w:val="20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дорогах области за прошедшие сутки зарегистрировано 5 ДТП, в результате которых погибших нет, 9 человек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16826015"/>
      <w:bookmarkStart w:id="3" w:name="_Hlk112072656"/>
      <w:bookmarkStart w:id="4" w:name="_Hlk99801931"/>
      <w:bookmarkStart w:id="5" w:name="_Hlk113283673"/>
      <w:bookmarkStart w:id="6" w:name="_Hlk100251273"/>
      <w:bookmarkStart w:id="7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Облачно, ночью небольшой, местами умеренный снег, по востоку местами небольшой снег, днем небольшой, местами умеренный снег, мокрый снег, в отдельных районах метели, гололедные явления.На дорогах местами гололедица.</w:t>
      </w:r>
      <w:r>
        <w:rPr>
          <w:rFonts w:cs="Times New Roman" w:ascii="Times New Roman" w:hAnsi="Times New Roman"/>
          <w:bCs/>
          <w:color w:val="FF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Ветер  юго-западный ночью 2-7 м/с, местами порывы до 12 м/с, днем 10-15 м/с, местами порывы до 20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-14, -19°С, при облачности -8, -13°С, по северу при прояснениях до -24°С,  днём -2, -7°С.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auto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750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/с, при этом уровень воды по гидропосту на р. Обь г. Новосибирск ожидается в районе </w:t>
      </w:r>
      <w:bookmarkStart w:id="8" w:name="_GoBack"/>
      <w:bookmarkEnd w:id="8"/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5 ± 10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ind w:firstLine="567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9" w:name="_Hlk78032653"/>
      <w:bookmarkEnd w:id="9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отопительных печей, обогревательных устройств, использование неисправного газового оборудования,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firstLine="567" w:left="0" w:right="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color w:val="000000"/>
          <w:sz w:val="28"/>
          <w:szCs w:val="28"/>
          <w:shd w:fill="auto" w:val="clear"/>
          <w:lang w:eastAsia="ru-RU"/>
        </w:rPr>
        <w:t>В связи с прогнозируемыми осадками в виде мокрого снега, гололедных явлений и порывами ветра до 20 м/с возможно возникновение чрезвычайных ситуаций не выше межмуниципального уровня, связанных с повреждением (обрывом) линий связи и электропередач.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firstLine="567" w:left="0" w:right="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color w:val="000000"/>
          <w:sz w:val="28"/>
          <w:szCs w:val="28"/>
          <w:shd w:fill="auto" w:val="clear"/>
          <w:lang w:eastAsia="ru-RU"/>
        </w:rPr>
        <w:t>В связи с прогнозируемыми осадками в виде мокрого снега, гололедных явлений и порывами ветра до 20 м/с, возможно падение аварийных деревьев, а так же их частей и слабозакрепленных конструкций.</w:t>
      </w:r>
    </w:p>
    <w:p>
      <w:pPr>
        <w:pStyle w:val="Normal"/>
        <w:widowControl/>
        <w:suppressAutoHyphens w:val="true"/>
        <w:bidi w:val="0"/>
        <w:spacing w:before="0" w:after="0"/>
        <w:ind w:firstLine="567" w:left="0" w:right="0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</w:t>
      </w: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widowControl/>
        <w:suppressAutoHyphens w:val="true"/>
        <w:bidi w:val="0"/>
        <w:spacing w:before="0" w:after="0"/>
        <w:ind w:firstLine="567" w:left="0" w:right="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Сохраняется риск травматизма людей из-за гололедицы на пешеходных коммуникациях населенных пунктов области. 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10" w:name="_Hlk12295763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 Прогноз происшествий на водных объектах</w:t>
      </w:r>
      <w:bookmarkEnd w:id="1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обстановки на дорогах.</w:t>
      </w:r>
    </w:p>
    <w:p>
      <w:pPr>
        <w:pStyle w:val="Normal"/>
        <w:widowControl/>
        <w:suppressAutoHyphens w:val="true"/>
        <w:bidi w:val="0"/>
        <w:spacing w:before="0" w:after="0"/>
        <w:ind w:firstLine="567" w:left="0" w:right="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снега, мокрого снега, метели и гололедица на дорогах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Возможно затруднение движения автотранспорта по дорогам местного значения.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1" w:name="_Hlk84255620"/>
      <w:bookmarkStart w:id="12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 Рекомендованные превентивные мероприятия</w:t>
      </w:r>
      <w:bookmarkEnd w:id="11"/>
      <w:bookmarkEnd w:id="12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3.1.7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0"/>
          <w:szCs w:val="20"/>
          <w:shd w:fill="auto" w:val="clear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3.2.1 Главам муниципальных районов,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3.2.2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3.2.3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3.2.4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3.2.5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3.2.7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3.3. По риску возникновения техногенных пожаров.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3.3.1. Проводить противопожарную пропаганду по вопросу доведения до населения основных мер пожарной безопасности при использовании электрических гирлянд, пиротехнических изделий.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3.3.2. Обеспечить пожарную безопасность в школах, детских садах, клубах и др, совместно с органами внутренних дел провести работу по исключению случаев использования пиротехнических изделий внутри помещений и вблизи зданий.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3.3.3.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уроков безопасности в школах и детских дошкольных учреждениях о мерах пожарной безопасности, особенно в местах массового скопления людей.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3.3.4. Провести комплексные внеплановые подворовые обходы по местам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проживания социально-незащищенной категории граждан, многодетных семей.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Довести информацию об основных требованиях пожарной безопасности, о возможности и порядке получения мер социальной поддержки на приведение жилых помещений в пожаробезопасное состояние (ремонт печного оборудования, электропроводки и пр.), а также об эффективности применения АДПИ.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3.3.5. Осуществить проверку мест установки АДПИ с GSM, их работоспособности путем фактического запуска с последующим контролем прохождения сигнала в ЕДДС района, и составлением соответствующего акта проверки (при наличии технической возможности добавить фото-, видеофиксацию).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3.3.6. Обеспечить работу по наращиванию размещаемых информационных материалов на противопожарную тематику на официальных сайтах, а также принятии мер к массовому регулярному использованию аудио трансляторов, широкоформатных экранов, электронных табло и мониторов. При подборе материалов для публикации в социальных сетях (вконтакте, телеграмм) особое внимание уделить информационно-новостным сводкам и статьям, разъясняющим правила эксплуатации бытовых электронагревательных приборов, тепло генерирующих устройств, отопительных печей.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3.3.7. Разместить в общественных местах, зданиях (помещениях) организаций, в сети интернет, информацию, способствующую обеспечению безопасности граждан воспитывающих несовершеннолетних детей.</w:t>
      </w:r>
    </w:p>
    <w:p>
      <w:pPr>
        <w:pStyle w:val="BodyText"/>
        <w:ind w:firstLine="567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shd w:fill="auto" w:val="clear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3.4.1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3.4.2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3.4.3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3" w:name="_Hlk163747752"/>
      <w:bookmarkEnd w:id="13"/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подполковник вн. службы                      </w:t>
      </w: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2973070</wp:posOffset>
            </wp:positionH>
            <wp:positionV relativeFrom="paragraph">
              <wp:posOffset>16510</wp:posOffset>
            </wp:positionV>
            <wp:extent cx="835660" cy="506095"/>
            <wp:effectExtent l="0" t="0" r="0" b="0"/>
            <wp:wrapNone/>
            <wp:docPr id="2" name="Изображение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3" t="-23" r="-23" b="-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506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          </w:t>
      </w:r>
      <w:r>
        <w:rPr>
          <w:rFonts w:ascii="Times New Roman" w:hAnsi="Times New Roman"/>
          <w:color w:val="000000"/>
          <w:shd w:fill="auto" w:val="clear"/>
          <w:lang w:eastAsia="ru-RU"/>
        </w:rPr>
        <w:t xml:space="preserve">      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                       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 В.В. Кацуба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Ковешников А.В.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1418"/>
      <w:pgNumType w:fmt="decimal"/>
      <w:formProt w:val="false"/>
      <w:titlePg/>
      <w:textDirection w:val="lrTb"/>
      <w:docGrid w:type="default" w:linePitch="360" w:charSpace="2375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>
    <w:name w:val="Footnote Characters111"/>
    <w:qFormat/>
    <w:rPr>
      <w:vertAlign w:val="superscript"/>
    </w:rPr>
  </w:style>
  <w:style w:type="character" w:styleId="FootnoteCharacters1111">
    <w:name w:val="Footnote Characters1111"/>
    <w:qFormat/>
    <w:rPr>
      <w:vertAlign w:val="superscript"/>
    </w:rPr>
  </w:style>
  <w:style w:type="character" w:styleId="FootnoteCharacters11111">
    <w:name w:val="Footnote Characters11111"/>
    <w:qFormat/>
    <w:rPr>
      <w:vertAlign w:val="superscript"/>
    </w:rPr>
  </w:style>
  <w:style w:type="character" w:styleId="FootnoteCharacters111111">
    <w:name w:val="Footnote Characters111111"/>
    <w:qFormat/>
    <w:rPr>
      <w:vertAlign w:val="superscript"/>
    </w:rPr>
  </w:style>
  <w:style w:type="character" w:styleId="FootnoteCharacters1111111">
    <w:name w:val="Footnote Characters1111111"/>
    <w:qFormat/>
    <w:rPr>
      <w:vertAlign w:val="superscript"/>
    </w:rPr>
  </w:style>
  <w:style w:type="character" w:styleId="FootnoteCharacters11111111">
    <w:name w:val="Footnote Characters11111111"/>
    <w:qFormat/>
    <w:rPr>
      <w:vertAlign w:val="superscript"/>
    </w:rPr>
  </w:style>
  <w:style w:type="character" w:styleId="FootnoteCharacters111111111">
    <w:name w:val="Footnote Characters111111111"/>
    <w:qFormat/>
    <w:rPr>
      <w:vertAlign w:val="superscript"/>
    </w:rPr>
  </w:style>
  <w:style w:type="character" w:styleId="FootnoteCharacters1111111111">
    <w:name w:val="Footnote Characters1111111111"/>
    <w:qFormat/>
    <w:rPr>
      <w:vertAlign w:val="superscript"/>
    </w:rPr>
  </w:style>
  <w:style w:type="character" w:styleId="FootnoteCharacters11111111111">
    <w:name w:val="Footnote Characters11111111111"/>
    <w:qFormat/>
    <w:rPr>
      <w:vertAlign w:val="superscript"/>
    </w:rPr>
  </w:style>
  <w:style w:type="character" w:styleId="FootnoteCharacters111111111111">
    <w:name w:val="Footnote Characters111111111111"/>
    <w:qFormat/>
    <w:rPr>
      <w:vertAlign w:val="superscript"/>
    </w:rPr>
  </w:style>
  <w:style w:type="character" w:styleId="FootnoteCharacters1111111111111">
    <w:name w:val="Footnote Characters1111111111111"/>
    <w:qFormat/>
    <w:rPr>
      <w:vertAlign w:val="superscript"/>
    </w:rPr>
  </w:style>
  <w:style w:type="character" w:styleId="FootnoteCharacters11111111111111">
    <w:name w:val="Footnote Characters11111111111111"/>
    <w:qFormat/>
    <w:rPr>
      <w:vertAlign w:val="superscript"/>
    </w:rPr>
  </w:style>
  <w:style w:type="character" w:styleId="FootnoteCharacters111111111111111">
    <w:name w:val="Footnote Characters111111111111111"/>
    <w:qFormat/>
    <w:rPr>
      <w:vertAlign w:val="superscript"/>
    </w:rPr>
  </w:style>
  <w:style w:type="character" w:styleId="FootnoteCharacters1111111111111111">
    <w:name w:val="Footnote Characters1111111111111111"/>
    <w:qFormat/>
    <w:rPr>
      <w:vertAlign w:val="superscript"/>
    </w:rPr>
  </w:style>
  <w:style w:type="character" w:styleId="FootnoteCharacters11111111111111111">
    <w:name w:val="Footnote Characters11111111111111111"/>
    <w:qFormat/>
    <w:rPr>
      <w:vertAlign w:val="superscript"/>
    </w:rPr>
  </w:style>
  <w:style w:type="character" w:styleId="FootnoteCharacters111111111111111111">
    <w:name w:val="Footnote Characters111111111111111111"/>
    <w:qFormat/>
    <w:rPr>
      <w:vertAlign w:val="superscript"/>
    </w:rPr>
  </w:style>
  <w:style w:type="character" w:styleId="FootnoteCharacters1111111111111111111">
    <w:name w:val="Footnote Characters1111111111111111111"/>
    <w:qFormat/>
    <w:rPr>
      <w:vertAlign w:val="superscript"/>
    </w:rPr>
  </w:style>
  <w:style w:type="character" w:styleId="FootnoteCharacters11111111111111111111">
    <w:name w:val="Footnote Characters11111111111111111111"/>
    <w:qFormat/>
    <w:rPr>
      <w:vertAlign w:val="superscript"/>
    </w:rPr>
  </w:style>
  <w:style w:type="character" w:styleId="FootnoteCharacters111111111111111111111">
    <w:name w:val="Footnote Characters111111111111111111111"/>
    <w:qFormat/>
    <w:rPr>
      <w:vertAlign w:val="superscript"/>
    </w:rPr>
  </w:style>
  <w:style w:type="character" w:styleId="FootnoteCharacters1111111111111111111111">
    <w:name w:val="Footnote Characters1111111111111111111111"/>
    <w:qFormat/>
    <w:rPr>
      <w:vertAlign w:val="superscript"/>
    </w:rPr>
  </w:style>
  <w:style w:type="character" w:styleId="FootnoteCharacters11111111111111111111111">
    <w:name w:val="Footnote Characters11111111111111111111111"/>
    <w:qFormat/>
    <w:rPr>
      <w:vertAlign w:val="superscript"/>
    </w:rPr>
  </w:style>
  <w:style w:type="character" w:styleId="FootnoteCharacters111111111111111111111111">
    <w:name w:val="Footnote Characters111111111111111111111111"/>
    <w:qFormat/>
    <w:rPr>
      <w:vertAlign w:val="superscript"/>
    </w:rPr>
  </w:style>
  <w:style w:type="character" w:styleId="FootnoteCharacters1111111111111111111111111">
    <w:name w:val="Footnote Characters1111111111111111111111111"/>
    <w:qFormat/>
    <w:rPr>
      <w:vertAlign w:val="superscript"/>
    </w:rPr>
  </w:style>
  <w:style w:type="character" w:styleId="FootnoteCharacters11111111111111111111111111">
    <w:name w:val="Footnote Characters11111111111111111111111111"/>
    <w:qFormat/>
    <w:rPr>
      <w:vertAlign w:val="superscript"/>
    </w:rPr>
  </w:style>
  <w:style w:type="character" w:styleId="FootnoteCharacters111111111111111111111111111">
    <w:name w:val="Footnote Characters111111111111111111111111111"/>
    <w:qFormat/>
    <w:rPr>
      <w:vertAlign w:val="superscript"/>
    </w:rPr>
  </w:style>
  <w:style w:type="character" w:styleId="FootnoteCharacters1111111111111111111111111111">
    <w:name w:val="Footnote Characters1111111111111111111111111111"/>
    <w:qFormat/>
    <w:rPr>
      <w:vertAlign w:val="superscript"/>
    </w:rPr>
  </w:style>
  <w:style w:type="character" w:styleId="FootnoteCharacters11111111111111111111111111111">
    <w:name w:val="Footnote Characters11111111111111111111111111111"/>
    <w:qFormat/>
    <w:rPr>
      <w:vertAlign w:val="superscript"/>
    </w:rPr>
  </w:style>
  <w:style w:type="character" w:styleId="FootnoteCharacters111111111111111111111111111111">
    <w:name w:val="Footnote Characters111111111111111111111111111111"/>
    <w:qFormat/>
    <w:rPr>
      <w:vertAlign w:val="superscript"/>
    </w:rPr>
  </w:style>
  <w:style w:type="character" w:styleId="FootnoteCharacters1111111111111111111111111111111">
    <w:name w:val="Footnote Characters1111111111111111111111111111111"/>
    <w:qFormat/>
    <w:rPr>
      <w:vertAlign w:val="superscript"/>
    </w:rPr>
  </w:style>
  <w:style w:type="character" w:styleId="FootnoteCharacters11111111111111111111111111111111">
    <w:name w:val="Footnote Characters11111111111111111111111111111111"/>
    <w:qFormat/>
    <w:rPr>
      <w:vertAlign w:val="superscript"/>
    </w:rPr>
  </w:style>
  <w:style w:type="character" w:styleId="FootnoteCharacters111111111111111111111111111111111">
    <w:name w:val="Footnote Characters111111111111111111111111111111111"/>
    <w:qFormat/>
    <w:rPr>
      <w:vertAlign w:val="superscript"/>
    </w:rPr>
  </w:style>
  <w:style w:type="character" w:styleId="FootnoteCharacters1111111111111111111111111111111111">
    <w:name w:val="Footnote Characters1111111111111111111111111111111111"/>
    <w:qFormat/>
    <w:rPr>
      <w:vertAlign w:val="superscript"/>
    </w:rPr>
  </w:style>
  <w:style w:type="character" w:styleId="FootnoteCharacters11111111111111111111111111111111111">
    <w:name w:val="Footnote Characters11111111111111111111111111111111111"/>
    <w:qFormat/>
    <w:rPr>
      <w:vertAlign w:val="superscript"/>
    </w:rPr>
  </w:style>
  <w:style w:type="character" w:styleId="FootnoteCharacters111111111111111111111111111111111111">
    <w:name w:val="Footnote Characters111111111111111111111111111111111111"/>
    <w:qFormat/>
    <w:rPr>
      <w:vertAlign w:val="superscript"/>
    </w:rPr>
  </w:style>
  <w:style w:type="character" w:styleId="FootnoteCharacters1111111111111111111111111111111111111">
    <w:name w:val="Footnote Characters1111111111111111111111111111111111111"/>
    <w:qFormat/>
    <w:rPr>
      <w:vertAlign w:val="superscript"/>
    </w:rPr>
  </w:style>
  <w:style w:type="character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>
    <w:name w:val="Endnote Characters111"/>
    <w:qFormat/>
    <w:rPr>
      <w:vertAlign w:val="superscript"/>
    </w:rPr>
  </w:style>
  <w:style w:type="character" w:styleId="EndnoteCharacters1111">
    <w:name w:val="Endnote Characters1111"/>
    <w:qFormat/>
    <w:rPr>
      <w:vertAlign w:val="superscript"/>
    </w:rPr>
  </w:style>
  <w:style w:type="character" w:styleId="EndnoteCharacters11111">
    <w:name w:val="Endnote Characters11111"/>
    <w:qFormat/>
    <w:rPr>
      <w:vertAlign w:val="superscript"/>
    </w:rPr>
  </w:style>
  <w:style w:type="character" w:styleId="EndnoteCharacters111111">
    <w:name w:val="Endnote Characters111111"/>
    <w:qFormat/>
    <w:rPr>
      <w:vertAlign w:val="superscript"/>
    </w:rPr>
  </w:style>
  <w:style w:type="character" w:styleId="EndnoteCharacters1111111">
    <w:name w:val="Endnote Characters1111111"/>
    <w:qFormat/>
    <w:rPr>
      <w:vertAlign w:val="superscript"/>
    </w:rPr>
  </w:style>
  <w:style w:type="character" w:styleId="EndnoteCharacters11111111">
    <w:name w:val="Endnote Characters11111111"/>
    <w:qFormat/>
    <w:rPr>
      <w:vertAlign w:val="superscript"/>
    </w:rPr>
  </w:style>
  <w:style w:type="character" w:styleId="EndnoteCharacters111111111">
    <w:name w:val="Endnote Characters111111111"/>
    <w:qFormat/>
    <w:rPr>
      <w:vertAlign w:val="superscript"/>
    </w:rPr>
  </w:style>
  <w:style w:type="character" w:styleId="EndnoteCharacters1111111111">
    <w:name w:val="Endnote Characters1111111111"/>
    <w:qFormat/>
    <w:rPr>
      <w:vertAlign w:val="superscript"/>
    </w:rPr>
  </w:style>
  <w:style w:type="character" w:styleId="EndnoteCharacters11111111111">
    <w:name w:val="Endnote Characters11111111111"/>
    <w:qFormat/>
    <w:rPr>
      <w:vertAlign w:val="superscript"/>
    </w:rPr>
  </w:style>
  <w:style w:type="character" w:styleId="EndnoteCharacters111111111111">
    <w:name w:val="Endnote Characters111111111111"/>
    <w:qFormat/>
    <w:rPr>
      <w:vertAlign w:val="superscript"/>
    </w:rPr>
  </w:style>
  <w:style w:type="character" w:styleId="EndnoteCharacters1111111111111">
    <w:name w:val="Endnote Characters1111111111111"/>
    <w:qFormat/>
    <w:rPr>
      <w:vertAlign w:val="superscript"/>
    </w:rPr>
  </w:style>
  <w:style w:type="character" w:styleId="EndnoteCharacters11111111111111">
    <w:name w:val="Endnote Characters11111111111111"/>
    <w:qFormat/>
    <w:rPr>
      <w:vertAlign w:val="superscript"/>
    </w:rPr>
  </w:style>
  <w:style w:type="character" w:styleId="EndnoteCharacters111111111111111">
    <w:name w:val="Endnote Characters111111111111111"/>
    <w:qFormat/>
    <w:rPr>
      <w:vertAlign w:val="superscript"/>
    </w:rPr>
  </w:style>
  <w:style w:type="character" w:styleId="EndnoteCharacters1111111111111111">
    <w:name w:val="Endnote Characters1111111111111111"/>
    <w:qFormat/>
    <w:rPr>
      <w:vertAlign w:val="superscript"/>
    </w:rPr>
  </w:style>
  <w:style w:type="character" w:styleId="EndnoteCharacters11111111111111111">
    <w:name w:val="Endnote Characters11111111111111111"/>
    <w:qFormat/>
    <w:rPr>
      <w:vertAlign w:val="superscript"/>
    </w:rPr>
  </w:style>
  <w:style w:type="character" w:styleId="EndnoteCharacters111111111111111111">
    <w:name w:val="Endnote Characters111111111111111111"/>
    <w:qFormat/>
    <w:rPr>
      <w:vertAlign w:val="superscript"/>
    </w:rPr>
  </w:style>
  <w:style w:type="character" w:styleId="EndnoteCharacters1111111111111111111">
    <w:name w:val="Endnote Characters1111111111111111111"/>
    <w:qFormat/>
    <w:rPr>
      <w:vertAlign w:val="superscript"/>
    </w:rPr>
  </w:style>
  <w:style w:type="character" w:styleId="EndnoteCharacters11111111111111111111">
    <w:name w:val="Endnote Characters11111111111111111111"/>
    <w:qFormat/>
    <w:rPr>
      <w:vertAlign w:val="superscript"/>
    </w:rPr>
  </w:style>
  <w:style w:type="character" w:styleId="EndnoteCharacters111111111111111111111">
    <w:name w:val="Endnote Characters111111111111111111111"/>
    <w:qFormat/>
    <w:rPr>
      <w:vertAlign w:val="superscript"/>
    </w:rPr>
  </w:style>
  <w:style w:type="character" w:styleId="EndnoteCharacters1111111111111111111111">
    <w:name w:val="Endnote Characters1111111111111111111111"/>
    <w:qFormat/>
    <w:rPr>
      <w:vertAlign w:val="superscript"/>
    </w:rPr>
  </w:style>
  <w:style w:type="character" w:styleId="EndnoteCharacters11111111111111111111111">
    <w:name w:val="Endnote Characters11111111111111111111111"/>
    <w:qFormat/>
    <w:rPr>
      <w:vertAlign w:val="superscript"/>
    </w:rPr>
  </w:style>
  <w:style w:type="character" w:styleId="EndnoteCharacters111111111111111111111111">
    <w:name w:val="Endnote Characters111111111111111111111111"/>
    <w:qFormat/>
    <w:rPr>
      <w:vertAlign w:val="superscript"/>
    </w:rPr>
  </w:style>
  <w:style w:type="character" w:styleId="EndnoteCharacters1111111111111111111111111">
    <w:name w:val="Endnote Characters1111111111111111111111111"/>
    <w:qFormat/>
    <w:rPr>
      <w:vertAlign w:val="superscript"/>
    </w:rPr>
  </w:style>
  <w:style w:type="character" w:styleId="EndnoteCharacters11111111111111111111111111">
    <w:name w:val="Endnote Characters11111111111111111111111111"/>
    <w:qFormat/>
    <w:rPr>
      <w:vertAlign w:val="superscript"/>
    </w:rPr>
  </w:style>
  <w:style w:type="character" w:styleId="EndnoteCharacters111111111111111111111111111">
    <w:name w:val="Endnote Characters111111111111111111111111111"/>
    <w:qFormat/>
    <w:rPr>
      <w:vertAlign w:val="superscript"/>
    </w:rPr>
  </w:style>
  <w:style w:type="character" w:styleId="EndnoteCharacters1111111111111111111111111111">
    <w:name w:val="Endnote Characters1111111111111111111111111111"/>
    <w:qFormat/>
    <w:rPr>
      <w:vertAlign w:val="superscript"/>
    </w:rPr>
  </w:style>
  <w:style w:type="character" w:styleId="EndnoteCharacters11111111111111111111111111111">
    <w:name w:val="Endnote Characters11111111111111111111111111111"/>
    <w:qFormat/>
    <w:rPr>
      <w:vertAlign w:val="superscript"/>
    </w:rPr>
  </w:style>
  <w:style w:type="character" w:styleId="EndnoteCharacters111111111111111111111111111111">
    <w:name w:val="Endnote Characters111111111111111111111111111111"/>
    <w:qFormat/>
    <w:rPr>
      <w:vertAlign w:val="superscript"/>
    </w:rPr>
  </w:style>
  <w:style w:type="character" w:styleId="EndnoteCharacters1111111111111111111111111111111">
    <w:name w:val="Endnote Characters1111111111111111111111111111111"/>
    <w:qFormat/>
    <w:rPr>
      <w:vertAlign w:val="superscript"/>
    </w:rPr>
  </w:style>
  <w:style w:type="character" w:styleId="EndnoteCharacters11111111111111111111111111111111">
    <w:name w:val="Endnote Characters11111111111111111111111111111111"/>
    <w:qFormat/>
    <w:rPr>
      <w:vertAlign w:val="superscript"/>
    </w:rPr>
  </w:style>
  <w:style w:type="character" w:styleId="EndnoteCharacters111111111111111111111111111111111">
    <w:name w:val="Endnote Characters111111111111111111111111111111111"/>
    <w:qFormat/>
    <w:rPr>
      <w:vertAlign w:val="superscript"/>
    </w:rPr>
  </w:style>
  <w:style w:type="character" w:styleId="EndnoteCharacters1111111111111111111111111111111111">
    <w:name w:val="Endnote Characters1111111111111111111111111111111111"/>
    <w:qFormat/>
    <w:rPr>
      <w:vertAlign w:val="superscript"/>
    </w:rPr>
  </w:style>
  <w:style w:type="character" w:styleId="EndnoteCharacters11111111111111111111111111111111111">
    <w:name w:val="Endnote Characters11111111111111111111111111111111111"/>
    <w:qFormat/>
    <w:rPr>
      <w:vertAlign w:val="superscript"/>
    </w:rPr>
  </w:style>
  <w:style w:type="character" w:styleId="EndnoteCharacters111111111111111111111111111111111111">
    <w:name w:val="Endnote Characters111111111111111111111111111111111111"/>
    <w:qFormat/>
    <w:rPr>
      <w:vertAlign w:val="superscript"/>
    </w:rPr>
  </w:style>
  <w:style w:type="character" w:styleId="EndnoteCharacters1111111111111111111111111111111111111">
    <w:name w:val="Endnote Characters1111111111111111111111111111111111111"/>
    <w:qFormat/>
    <w:rPr>
      <w:vertAlign w:val="superscript"/>
    </w:rPr>
  </w:style>
  <w:style w:type="character" w:styleId="EndnoteCharacters11111111111111111111111111111111111111">
    <w:name w:val="Endnote Characters11111111111111111111111111111111111111"/>
    <w:qFormat/>
    <w:rPr>
      <w:vertAlign w:val="superscript"/>
    </w:rPr>
  </w:style>
  <w:style w:type="character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>
    <w:name w:val="Internet Link173"/>
    <w:qFormat/>
    <w:rPr>
      <w:color w:val="000080"/>
      <w:u w:val="single"/>
    </w:rPr>
  </w:style>
  <w:style w:type="character" w:styleId="InternetLink174">
    <w:name w:val="Internet Link174"/>
    <w:qFormat/>
    <w:rPr>
      <w:color w:val="000080"/>
      <w:u w:val="single"/>
    </w:rPr>
  </w:style>
  <w:style w:type="character" w:styleId="InternetLink175">
    <w:name w:val="Internet Link175"/>
    <w:qFormat/>
    <w:rPr>
      <w:color w:val="000080"/>
      <w:u w:val="single"/>
    </w:rPr>
  </w:style>
  <w:style w:type="character" w:styleId="InternetLink176">
    <w:name w:val="Internet Link176"/>
    <w:qFormat/>
    <w:rPr>
      <w:color w:val="000080"/>
      <w:u w:val="single"/>
    </w:rPr>
  </w:style>
  <w:style w:type="character" w:styleId="InternetLink177">
    <w:name w:val="Internet Link177"/>
    <w:qFormat/>
    <w:rPr>
      <w:color w:val="000080"/>
      <w:u w:val="single"/>
    </w:rPr>
  </w:style>
  <w:style w:type="character" w:styleId="InternetLink178">
    <w:name w:val="Internet Link178"/>
    <w:qFormat/>
    <w:rPr>
      <w:color w:val="000080"/>
      <w:u w:val="single"/>
    </w:rPr>
  </w:style>
  <w:style w:type="character" w:styleId="InternetLink179">
    <w:name w:val="Internet Link179"/>
    <w:qFormat/>
    <w:rPr>
      <w:color w:val="000080"/>
      <w:u w:val="single"/>
    </w:rPr>
  </w:style>
  <w:style w:type="character" w:styleId="Style17">
    <w:name w:val="Символ нумерации"/>
    <w:qFormat/>
    <w:rPr/>
  </w:style>
  <w:style w:type="character" w:styleId="InternetLink180">
    <w:name w:val="Internet Link180"/>
    <w:qFormat/>
    <w:rPr>
      <w:color w:val="000080"/>
      <w:u w:val="single"/>
    </w:rPr>
  </w:style>
  <w:style w:type="character" w:styleId="InternetLink181">
    <w:name w:val="Internet Link181"/>
    <w:qFormat/>
    <w:rPr>
      <w:color w:val="000080"/>
      <w:u w:val="single"/>
    </w:rPr>
  </w:style>
  <w:style w:type="character" w:styleId="InternetLink182">
    <w:name w:val="Internet Link182"/>
    <w:qFormat/>
    <w:rPr>
      <w:color w:val="000080"/>
      <w:u w:val="single"/>
    </w:rPr>
  </w:style>
  <w:style w:type="character" w:styleId="InternetLink183">
    <w:name w:val="Internet Link183"/>
    <w:qFormat/>
    <w:rPr>
      <w:color w:val="000080"/>
      <w:u w:val="single"/>
    </w:rPr>
  </w:style>
  <w:style w:type="character" w:styleId="InternetLink184">
    <w:name w:val="Internet Link184"/>
    <w:qFormat/>
    <w:rPr>
      <w:color w:val="000080"/>
      <w:u w:val="single"/>
    </w:rPr>
  </w:style>
  <w:style w:type="character" w:styleId="InternetLink185">
    <w:name w:val="Internet Link185"/>
    <w:qFormat/>
    <w:rPr>
      <w:color w:val="000080"/>
      <w:u w:val="single"/>
    </w:rPr>
  </w:style>
  <w:style w:type="character" w:styleId="InternetLink186">
    <w:name w:val="Internet Link186"/>
    <w:qFormat/>
    <w:rPr>
      <w:color w:val="000080"/>
      <w:u w:val="single"/>
    </w:rPr>
  </w:style>
  <w:style w:type="character" w:styleId="InternetLink187">
    <w:name w:val="Internet Link187"/>
    <w:qFormat/>
    <w:rPr>
      <w:color w:val="000080"/>
      <w:u w:val="single"/>
    </w:rPr>
  </w:style>
  <w:style w:type="character" w:styleId="InternetLink188">
    <w:name w:val="Internet Link188"/>
    <w:qFormat/>
    <w:rPr>
      <w:color w:val="000080"/>
      <w:u w:val="single"/>
    </w:rPr>
  </w:style>
  <w:style w:type="character" w:styleId="InternetLink189">
    <w:name w:val="Internet Link189"/>
    <w:qFormat/>
    <w:rPr>
      <w:color w:val="000080"/>
      <w:u w:val="single"/>
    </w:rPr>
  </w:style>
  <w:style w:type="character" w:styleId="InternetLink190">
    <w:name w:val="Internet Link190"/>
    <w:qFormat/>
    <w:rPr>
      <w:color w:val="000080"/>
      <w:u w:val="single"/>
    </w:rPr>
  </w:style>
  <w:style w:type="character" w:styleId="InternetLink191">
    <w:name w:val="Internet Link191"/>
    <w:qFormat/>
    <w:rPr>
      <w:color w:val="000080"/>
      <w:u w:val="single"/>
    </w:rPr>
  </w:style>
  <w:style w:type="character" w:styleId="InternetLink192">
    <w:name w:val="Internet Link192"/>
    <w:qFormat/>
    <w:rPr>
      <w:color w:val="000080"/>
      <w:u w:val="single"/>
    </w:rPr>
  </w:style>
  <w:style w:type="character" w:styleId="InternetLink193">
    <w:name w:val="Internet Link193"/>
    <w:qFormat/>
    <w:rPr>
      <w:color w:val="000080"/>
      <w:u w:val="single"/>
    </w:rPr>
  </w:style>
  <w:style w:type="character" w:styleId="InternetLink194">
    <w:name w:val="Internet Link194"/>
    <w:qFormat/>
    <w:rPr>
      <w:color w:val="000080"/>
      <w:u w:val="single"/>
    </w:rPr>
  </w:style>
  <w:style w:type="character" w:styleId="InternetLink195">
    <w:name w:val="Internet Link195"/>
    <w:qFormat/>
    <w:rPr>
      <w:color w:val="000080"/>
      <w:u w:val="single"/>
    </w:rPr>
  </w:style>
  <w:style w:type="character" w:styleId="InternetLink196">
    <w:name w:val="Internet Link196"/>
    <w:qFormat/>
    <w:rPr>
      <w:color w:val="000080"/>
      <w:u w:val="single"/>
    </w:rPr>
  </w:style>
  <w:style w:type="character" w:styleId="InternetLink197">
    <w:name w:val="Internet Link197"/>
    <w:qFormat/>
    <w:rPr>
      <w:color w:val="000080"/>
      <w:u w:val="single"/>
    </w:rPr>
  </w:style>
  <w:style w:type="character" w:styleId="InternetLink198">
    <w:name w:val="Internet Link198"/>
    <w:qFormat/>
    <w:rPr>
      <w:color w:val="000080"/>
      <w:u w:val="single"/>
    </w:rPr>
  </w:style>
  <w:style w:type="character" w:styleId="InternetLink199">
    <w:name w:val="Internet Link199"/>
    <w:qFormat/>
    <w:rPr>
      <w:color w:val="000080"/>
      <w:u w:val="single"/>
    </w:rPr>
  </w:style>
  <w:style w:type="character" w:styleId="InternetLink200">
    <w:name w:val="Internet Link200"/>
    <w:qFormat/>
    <w:rPr>
      <w:color w:val="000080"/>
      <w:u w:val="single"/>
    </w:rPr>
  </w:style>
  <w:style w:type="character" w:styleId="InternetLink201">
    <w:name w:val="Internet Link201"/>
    <w:qFormat/>
    <w:rPr>
      <w:color w:val="000080"/>
      <w:u w:val="single"/>
    </w:rPr>
  </w:style>
  <w:style w:type="character" w:styleId="InternetLink202">
    <w:name w:val="Internet Link202"/>
    <w:qFormat/>
    <w:rPr>
      <w:color w:val="000080"/>
      <w:u w:val="single"/>
    </w:rPr>
  </w:style>
  <w:style w:type="character" w:styleId="InternetLink203">
    <w:name w:val="Internet Link203"/>
    <w:qFormat/>
    <w:rPr>
      <w:color w:val="000080"/>
      <w:u w:val="single"/>
    </w:rPr>
  </w:style>
  <w:style w:type="character" w:styleId="InternetLink204">
    <w:name w:val="Internet Link204"/>
    <w:qFormat/>
    <w:rPr>
      <w:color w:val="000080"/>
      <w:u w:val="single"/>
    </w:rPr>
  </w:style>
  <w:style w:type="character" w:styleId="InternetLink205">
    <w:name w:val="Internet Link205"/>
    <w:qFormat/>
    <w:rPr>
      <w:color w:val="000080"/>
      <w:u w:val="single"/>
    </w:rPr>
  </w:style>
  <w:style w:type="character" w:styleId="InternetLink206">
    <w:name w:val="Internet Link206"/>
    <w:qFormat/>
    <w:rPr>
      <w:color w:val="000080"/>
      <w:u w:val="single"/>
    </w:rPr>
  </w:style>
  <w:style w:type="character" w:styleId="InternetLink207">
    <w:name w:val="Internet Link207"/>
    <w:qFormat/>
    <w:rPr>
      <w:color w:val="000080"/>
      <w:u w:val="single"/>
    </w:rPr>
  </w:style>
  <w:style w:type="character" w:styleId="InternetLink208">
    <w:name w:val="Internet Link208"/>
    <w:qFormat/>
    <w:rPr>
      <w:color w:val="000080"/>
      <w:u w:val="single"/>
    </w:rPr>
  </w:style>
  <w:style w:type="character" w:styleId="InternetLink209">
    <w:name w:val="Internet Link209"/>
    <w:qFormat/>
    <w:rPr>
      <w:color w:val="000080"/>
      <w:u w:val="single"/>
    </w:rPr>
  </w:style>
  <w:style w:type="character" w:styleId="InternetLink210">
    <w:name w:val="Internet Link210"/>
    <w:qFormat/>
    <w:rPr>
      <w:color w:val="000080"/>
      <w:u w:val="single"/>
    </w:rPr>
  </w:style>
  <w:style w:type="character" w:styleId="InternetLink211">
    <w:name w:val="Internet Link211"/>
    <w:qFormat/>
    <w:rPr>
      <w:color w:val="000080"/>
      <w:u w:val="single"/>
    </w:rPr>
  </w:style>
  <w:style w:type="character" w:styleId="InternetLink212">
    <w:name w:val="Internet Link212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hanging="0" w:left="1984"/>
    </w:pPr>
    <w:rPr/>
  </w:style>
  <w:style w:type="paragraph" w:styleId="Style20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hanging="0"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hanging="0"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hanging="0"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hanging="0"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hanging="0"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hanging="0"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hanging="0"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hanging="0"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hanging="0"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hanging="0"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2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3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hanging="0"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hanging="0"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d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10713</TotalTime>
  <Application>LibreOffice/24.8.0.3$Windows_X86_64 LibreOffice_project/0bdf1299c94fe897b119f97f3c613e9dca6be583</Application>
  <AppVersion>15.0000</AppVersion>
  <Pages>15</Pages>
  <Words>2584</Words>
  <Characters>21231</Characters>
  <CharactersWithSpaces>23389</CharactersWithSpaces>
  <Paragraphs>499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2025-01-09T15:49:50Z</dcterms:modified>
  <cp:revision>1489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