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7"/>
        <w:gridCol w:w="417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19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09.05.2024 г.</w:t>
            </w:r>
          </w:p>
        </w:tc>
        <w:tc>
          <w:tcPr>
            <w:tcW w:w="417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131-20-3-2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19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10.05.2024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sz w:val="28"/>
          <w:szCs w:val="28"/>
          <w:shd w:fill="FFFFFF" w:val="clear"/>
        </w:rPr>
        <w:t>Опасные гидрометеорологические явления</w:t>
      </w:r>
    </w:p>
    <w:tbl>
      <w:tblPr>
        <w:tblW w:w="9894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234"/>
        <w:gridCol w:w="7659"/>
      </w:tblGrid>
      <w:tr>
        <w:trPr>
          <w:trHeight w:val="603" w:hRule="atLeast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shd w:fill="FFFFFF" w:val="clear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10-13.05 местами сохранится и ожидается высокая пожароопасность (4 класса).</w:t>
            </w:r>
          </w:p>
          <w:p>
            <w:pPr>
              <w:pStyle w:val="Normal"/>
              <w:widowControl w:val="false"/>
              <w:ind w:firstLine="567"/>
              <w:jc w:val="both"/>
              <w:rPr/>
            </w:pPr>
            <w:r>
              <w:rPr>
                <w:sz w:val="28"/>
                <w:szCs w:val="28"/>
              </w:rPr>
              <w:t>В период 10 – 13 мая на р. Тара в районе с. Кыштовка продолжится подъем уровня воды до отметок 790 – 830 см (опасная отметка 800 см), возможно подтопление прибрежных территорий села.</w:t>
            </w:r>
          </w:p>
        </w:tc>
      </w:tr>
    </w:tbl>
    <w:p>
      <w:pPr>
        <w:pStyle w:val="Normal"/>
        <w:jc w:val="both"/>
        <w:rPr>
          <w:color w:val="FF0000"/>
          <w:sz w:val="22"/>
          <w:szCs w:val="22"/>
          <w:highlight w:val="yellow"/>
        </w:rPr>
      </w:pPr>
      <w:r>
        <w:rPr>
          <w:color w:val="FF0000"/>
          <w:sz w:val="22"/>
          <w:szCs w:val="22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8 и ночью 9 мая наблюдалась погода без осадков. Ветер усиливался  до 10-12 м/с. Температура воздуха составила днем +16, +21 °С, ночью 0, +9 °С. Утром 8 мая отмечалось ухудшение  видимость в туманах до 200-500 м. 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По данным Службы МОС в г. Новосибирске превышений ПДК нет.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На северных реках наблюдается незначительный подъем уровня воды. </w:t>
      </w:r>
    </w:p>
    <w:p>
      <w:pPr>
        <w:pStyle w:val="Normal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В Убинском районе на реке Омь (н.п. Чумаково) уровень воды поднялся на 3 см и составил 1013 см, при критической отметке 1100 см; в районе н.п. Крещенка уровень воды снизился на 2 см, составил 1009 см, при критической отметке 1048 см.</w:t>
      </w:r>
    </w:p>
    <w:p>
      <w:pPr>
        <w:pStyle w:val="Normal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На реке Тартас (н.п. Северное) уровень воды снизился на 5 см и составил 708 см, при критической отметке 750 см.; в н.п. Венгерово уровень воды поднялся на 3см</w:t>
      </w:r>
      <w:r>
        <w:rPr/>
        <w:t xml:space="preserve"> </w:t>
      </w:r>
      <w:r>
        <w:rPr>
          <w:sz w:val="28"/>
          <w:szCs w:val="28"/>
          <w:shd w:fill="FFFFFF" w:val="clear"/>
        </w:rPr>
        <w:t xml:space="preserve">и составил 527см </w:t>
      </w:r>
      <w:r>
        <w:rPr/>
        <w:t xml:space="preserve"> </w:t>
      </w:r>
      <w:r>
        <w:rPr>
          <w:sz w:val="28"/>
          <w:szCs w:val="28"/>
          <w:shd w:fill="FFFFFF" w:val="clear"/>
        </w:rPr>
        <w:t>при критической отметке 730 см.</w:t>
      </w:r>
    </w:p>
    <w:p>
      <w:pPr>
        <w:pStyle w:val="Normal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На реке Тара (п.н. Кыштовка), уровень реки поднялся на 7 см и составил 792</w:t>
      </w:r>
      <w:bookmarkStart w:id="0" w:name="_GoBack"/>
      <w:bookmarkEnd w:id="0"/>
      <w:r>
        <w:rPr>
          <w:sz w:val="28"/>
          <w:szCs w:val="28"/>
          <w:shd w:fill="FFFFFF" w:val="clear"/>
        </w:rPr>
        <w:t xml:space="preserve"> см, при критической отметке 950 см.</w:t>
      </w:r>
    </w:p>
    <w:p>
      <w:pPr>
        <w:pStyle w:val="Normal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В связи с превышением форсированного уровня воды в озере Хорошее в Хорошинском с/с Карасукского района существовала угроза разрушения береговой линии в н.п. Хорошее.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FF" w:val="clear"/>
        </w:rPr>
      </w:pPr>
      <w:r>
        <w:rPr>
          <w:sz w:val="28"/>
          <w:szCs w:val="28"/>
          <w:shd w:fill="FFFFFF" w:val="clear"/>
        </w:rPr>
        <w:t>Для дополнительного сброса воды и стабилизации уровня в озере были проведены работы по обустройству прорана в теле дамбы. В результате интенсивного прохождения воды, произошло обрушение берегов прорана и его расширение. 07 мая проведены работы по завозу грунта и железобетонных конструкций для укрепления берегов и не допущения дальнейшего расширения прорана. Ведется мониторинг складывающейся обстановки</w:t>
      </w:r>
      <w:r>
        <w:rPr>
          <w:sz w:val="28"/>
          <w:szCs w:val="28"/>
          <w:highlight w:val="yellow"/>
          <w:shd w:fill="FFFFFF" w:val="clear"/>
        </w:rPr>
        <w:t xml:space="preserve"> </w:t>
      </w:r>
    </w:p>
    <w:p>
      <w:pPr>
        <w:pStyle w:val="Normal"/>
        <w:ind w:firstLine="567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Наполнение чаши Обского водохранилища осуществляется в соответствии с графиком </w:t>
      </w:r>
      <w:r>
        <w:rPr>
          <w:bCs/>
          <w:sz w:val="28"/>
          <w:szCs w:val="28"/>
          <w:shd w:fill="FFFFFF" w:val="clear"/>
        </w:rPr>
        <w:t>пропуска весеннего половодья на 2024г</w:t>
      </w:r>
      <w:r>
        <w:rPr>
          <w:sz w:val="28"/>
          <w:szCs w:val="28"/>
          <w:shd w:fill="FFFFFF" w:val="clear"/>
        </w:rPr>
        <w:t>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111,15 м БС (Балтийской системы измерений),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сброс составил 3300 м³/с, приток 3500 м³/с. Уровень воды в реке Обь находится на отметке 260 см.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34"/>
        <w:gridCol w:w="1832"/>
        <w:gridCol w:w="1133"/>
        <w:gridCol w:w="1554"/>
        <w:gridCol w:w="1561"/>
        <w:gridCol w:w="1982"/>
      </w:tblGrid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bookmarkStart w:id="1" w:name="_Hlk130909852"/>
            <w:bookmarkEnd w:id="1"/>
            <w:r>
              <w:rPr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Уровень воды (см) на 08.00 нск 09.05.2024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eastAsia="ar-SA"/>
              </w:rPr>
              <w:t>443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lang w:eastAsia="ar-SA"/>
              </w:rPr>
              <w:t>-23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-41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5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+3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>
          <w:trHeight w:val="70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-16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>
          <w:trHeight w:val="51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/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>
      <w:pPr>
        <w:pStyle w:val="Normal"/>
        <w:tabs>
          <w:tab w:val="clear" w:pos="720"/>
          <w:tab w:val="center" w:pos="481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08:00 09 мая в 9-ти населенных пунктах Северного и Кыштовского районов (н.п. Остяцк, н.п. Бергуль, н.п. Северное, н.п. Чебаки, н.п. Гражданцево, н.п. Верх–Красноярка, н.п. Большие Кулики, н.п. Кыштовка, н.п. Сергеевка) подтоплены 2 жилых дома в н.п. Северное, н.п. Кыштовка (за сутки без изменений), 40 приусадебных участков (за сутки освободились от воды 3 участка, в н.п. Бергуль -2, в н.п. Коб-Кордон -1). На территории Новосибирского района подтоплено 2 дачных дома (за сутки без изменений) и 8 дачных участков (за сутки без изменений) в СНТ «Елочка». Проводится работа по оказанию адресной помощи населению, ведется мониторинг складывающейся обстановки.</w:t>
      </w:r>
    </w:p>
    <w:tbl>
      <w:tblPr>
        <w:tblW w:w="97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5"/>
        <w:gridCol w:w="2040"/>
        <w:gridCol w:w="2377"/>
        <w:gridCol w:w="2041"/>
        <w:gridCol w:w="274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 xml:space="preserve">№ </w:t>
            </w:r>
            <w:r>
              <w:rPr>
                <w:sz w:val="18"/>
                <w:szCs w:val="18"/>
                <w:lang w:bidi="hi-IN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Наименование муниципального образования, населенного пункта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Количество подтопленных объектов, участков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Причина подтопления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Принимаемые меры</w:t>
            </w:r>
          </w:p>
        </w:tc>
      </w:tr>
      <w:tr>
        <w:trPr>
          <w:trHeight w:val="51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Северный район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Остяцк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- 1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уровня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51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Северный район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Коб-Кордон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- 0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(за сутки освобождено -1)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уровня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Тартас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51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Северный район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Бергуль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- 5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(за сутки освобождено -2)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уровня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 Пожарная безопасность обеспечена ДПК Бергульского с/с. Местными жителями организована лодочная переправа (1 лодка).</w:t>
            </w:r>
          </w:p>
        </w:tc>
      </w:tr>
      <w:tr>
        <w:trPr>
          <w:trHeight w:val="256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4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Северный район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Северное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- 4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Тартас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256" w:hRule="atLeas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жилой дом - 1</w:t>
            </w:r>
          </w:p>
          <w:p>
            <w:pPr>
              <w:pStyle w:val="Style19"/>
              <w:widowControl w:val="false"/>
              <w:jc w:val="center"/>
              <w:rPr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  <w:p>
            <w:pPr>
              <w:pStyle w:val="Style19"/>
              <w:widowControl w:val="false"/>
              <w:jc w:val="center"/>
              <w:rPr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- 10</w:t>
            </w:r>
          </w:p>
          <w:p>
            <w:pPr>
              <w:pStyle w:val="Style19"/>
              <w:widowControl w:val="false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Зункуй</w:t>
            </w:r>
          </w:p>
          <w:p>
            <w:pPr>
              <w:pStyle w:val="Style19"/>
              <w:widowControl w:val="false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bidi="hi-IN"/>
              </w:rPr>
              <w:t>(приток р. Тартас)</w:t>
            </w:r>
          </w:p>
        </w:tc>
        <w:tc>
          <w:tcPr>
            <w:tcW w:w="27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</w:tr>
      <w:tr>
        <w:trPr>
          <w:trHeight w:val="51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Северный район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Чебаки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- 6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Тартас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51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Северный район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Гражданцево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- 2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Тартас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51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Северный район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Верх–Красноярка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- 1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Тартас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513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8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57" w:hanging="0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Северный район</w:t>
            </w:r>
          </w:p>
          <w:p>
            <w:pPr>
              <w:pStyle w:val="Style19"/>
              <w:widowControl w:val="false"/>
              <w:ind w:left="57" w:hanging="0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Большие Кулики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- 3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Тартас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51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Кыштовский район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Кыштовка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жилой дом - 1</w:t>
            </w:r>
          </w:p>
          <w:p>
            <w:pPr>
              <w:pStyle w:val="Style19"/>
              <w:widowControl w:val="false"/>
              <w:jc w:val="center"/>
              <w:rPr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-7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581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10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Кыштовский район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н.п. Сергеевка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приусадебных участков -1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р. Тара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513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11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Новосибирский район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СНТ «Елочка»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DejaVu Sans"/>
                <w:color w:val="000000"/>
                <w:sz w:val="28"/>
                <w:szCs w:val="2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дачных домов -2</w:t>
            </w:r>
          </w:p>
          <w:p>
            <w:pPr>
              <w:pStyle w:val="Style19"/>
              <w:widowControl w:val="false"/>
              <w:jc w:val="center"/>
              <w:rPr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дачных участков -8</w:t>
            </w:r>
          </w:p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Подъем грунтовых  вод в оз. Медвежье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eastAsia="SimSun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 xml:space="preserve"> </w:t>
            </w:r>
            <w:r>
              <w:rPr>
                <w:sz w:val="18"/>
                <w:szCs w:val="18"/>
                <w:lang w:bidi="hi-IN"/>
              </w:rPr>
              <w:t>Ведется мониторинг обстановки. Спланированы работы по прочистке водотводного канала.</w:t>
            </w:r>
          </w:p>
        </w:tc>
      </w:tr>
    </w:tbl>
    <w:p>
      <w:pPr>
        <w:pStyle w:val="Normal"/>
        <w:tabs>
          <w:tab w:val="clear" w:pos="720"/>
          <w:tab w:val="center" w:pos="4819" w:leader="none"/>
        </w:tabs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bCs/>
          <w:color w:val="000000"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По данным ФГБУ «Западно - Сибирское УГМС» на территории Венгеровского района Новосибирской области установилась высокая пожароопасность 4 класса, на остальной территории области – пожароопасность 3-го, местами 2-го классов.</w:t>
      </w:r>
    </w:p>
    <w:p>
      <w:pPr>
        <w:pStyle w:val="Normal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зарегистрировано - 19 термических точек (АППГ - 298), из них в 5-ти километровой зоне - 16 (АППГ - 189). Ликвидировано - 16,  не подтвердилось - 3. Угрозы населённым пунктам нет. Всего с начала года зарегистрировано - 400 термических точек (АППГ - 5269), из них в 5-ти километровой зоне - 320 (АППГ - 3265).</w:t>
      </w:r>
    </w:p>
    <w:p>
      <w:pPr>
        <w:pStyle w:val="Normal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сутки зарегистрировано три лесных пожара на площади 12,89 га (вся лесная). Ликвидированы. Действующих лесных пожаров нет.</w:t>
      </w:r>
    </w:p>
    <w:p>
      <w:pPr>
        <w:pStyle w:val="Normal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3.</w:t>
      </w:r>
    </w:p>
    <w:p>
      <w:pPr>
        <w:pStyle w:val="Normal"/>
        <w:ind w:firstLine="567"/>
        <w:jc w:val="both"/>
        <w:rPr>
          <w:bCs/>
          <w:iCs/>
          <w:sz w:val="28"/>
          <w:szCs w:val="28"/>
          <w:highlight w:val="yellow"/>
        </w:rPr>
      </w:pPr>
      <w:r>
        <w:rPr>
          <w:bCs/>
          <w:iCs/>
          <w:sz w:val="28"/>
          <w:szCs w:val="28"/>
        </w:rPr>
        <w:t>расчетом беспилотных авиационных систем от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осуществлены полеты на территории Коченевского и Чулымского районов в местах возможного поджигания травы и лесных массивов.</w:t>
      </w:r>
    </w:p>
    <w:tbl>
      <w:tblPr>
        <w:tblW w:w="105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40"/>
        <w:gridCol w:w="1804"/>
        <w:gridCol w:w="903"/>
        <w:gridCol w:w="1121"/>
        <w:gridCol w:w="1076"/>
        <w:gridCol w:w="1029"/>
        <w:gridCol w:w="812"/>
        <w:gridCol w:w="861"/>
        <w:gridCol w:w="888"/>
        <w:gridCol w:w="1310"/>
      </w:tblGrid>
      <w:tr>
        <w:trPr>
          <w:trHeight w:val="389" w:hRule="atLeast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ind w:left="-546" w:right="-108" w:firstLine="411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lang w:bidi="hi-IN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33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п/п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муниципального района</w:t>
            </w:r>
          </w:p>
        </w:tc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Обнаружено термических точек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средствам космического мониторинга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Подтвер-дились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Плановый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отжиг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Не подтвер-дились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Уровни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реагирования</w:t>
            </w:r>
          </w:p>
        </w:tc>
      </w:tr>
      <w:tr>
        <w:trPr>
          <w:trHeight w:val="374" w:hRule="atLeast"/>
        </w:trPr>
        <w:tc>
          <w:tcPr>
            <w:tcW w:w="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DejaVu Sans"/>
                <w:color w:val="000000"/>
                <w:sz w:val="24"/>
                <w:szCs w:val="24"/>
                <w:lang w:bidi="hi-IN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за сутки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Нарастающим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итогом с начала года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  <w:tc>
          <w:tcPr>
            <w:tcW w:w="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  <w:tc>
          <w:tcPr>
            <w:tcW w:w="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</w:tr>
      <w:tr>
        <w:trPr>
          <w:trHeight w:val="434" w:hRule="atLeast"/>
        </w:trPr>
        <w:tc>
          <w:tcPr>
            <w:tcW w:w="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eastAsia="DejaVu Sans"/>
                <w:color w:val="000000"/>
                <w:sz w:val="24"/>
                <w:szCs w:val="24"/>
                <w:lang w:bidi="hi-IN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65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firstLine="3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99" w:leader="none"/>
              </w:tabs>
              <w:ind w:left="-102" w:right="-107" w:firstLine="3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5 км зоне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7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8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8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5 км зоне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  <w:tc>
          <w:tcPr>
            <w:tcW w:w="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  <w:tc>
          <w:tcPr>
            <w:tcW w:w="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eastAsia="DejaVu Sans"/>
                <w:color w:val="000000"/>
                <w:lang w:bidi="hi-IN"/>
              </w:rPr>
            </w:pPr>
            <w:r>
              <w:rPr>
                <w:rFonts w:eastAsia="DejaVu Sans"/>
                <w:color w:val="000000"/>
                <w:lang w:bidi="hi-IN"/>
              </w:rPr>
            </w:r>
          </w:p>
        </w:tc>
      </w:tr>
      <w:tr>
        <w:trPr>
          <w:trHeight w:val="204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lang w:bidi="hi-IN"/>
              </w:rPr>
              <w:t>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г. Новосибирск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9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г. Бердск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г. Искитим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14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р.п. Кольцово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9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г. Обь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9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Баганский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Барабинский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21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Болотнинский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Венгеровский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7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Доволенский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19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Здвинский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1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Искитимский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Карасукский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2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Каргатский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13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Колыванский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41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Коченевский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42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0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Кочковский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35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Краснозерский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2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19.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Куйбышевский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189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Купинский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Кыштовский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113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Маслянинский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Мошковский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Новосибирский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</w:t>
            </w:r>
          </w:p>
        </w:tc>
      </w:tr>
      <w:tr>
        <w:trPr>
          <w:trHeight w:val="237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Ордынский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Северный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-</w:t>
            </w:r>
          </w:p>
        </w:tc>
      </w:tr>
      <w:tr>
        <w:trPr>
          <w:trHeight w:val="21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Сузунский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17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28.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Татарский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113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29.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Тогучинский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33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30.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Убинский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06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31.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Усть-Таркский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33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32.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Чановский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232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33.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Черепановский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180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34.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Чистоозерный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178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sz w:val="24"/>
                <w:szCs w:val="24"/>
                <w:lang w:bidi="hi-IN"/>
              </w:rPr>
            </w:pPr>
            <w:r>
              <w:rPr>
                <w:rFonts w:cs="Tinos"/>
                <w:bCs/>
                <w:lang w:bidi="hi-IN"/>
              </w:rPr>
              <w:t>35.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Чулымский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lang w:bidi="hi-IN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Cs/>
                <w:lang w:bidi="hi-IN"/>
              </w:rPr>
              <w:t>Мун.</w:t>
            </w:r>
          </w:p>
        </w:tc>
      </w:tr>
      <w:tr>
        <w:trPr>
          <w:trHeight w:val="331" w:hRule="atLeas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rFonts w:eastAsia="DejaVu Sans" w:cs="Tinos"/>
                <w:bCs/>
                <w:color w:val="000000"/>
                <w:lang w:bidi="hi-IN"/>
              </w:rPr>
            </w:pPr>
            <w:r>
              <w:rPr>
                <w:rFonts w:eastAsia="DejaVu Sans" w:cs="Tinos"/>
                <w:bCs/>
                <w:color w:val="000000"/>
                <w:lang w:bidi="hi-IN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/>
                <w:bCs/>
                <w:lang w:bidi="hi-IN"/>
              </w:rPr>
              <w:t>Итого: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b/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lang w:bidi="hi-IN"/>
              </w:rPr>
              <w:t>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b/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lang w:bidi="hi-IN"/>
              </w:rPr>
              <w:t>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/>
                <w:bCs/>
                <w:lang w:bidi="hi-IN"/>
              </w:rPr>
              <w:t>381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rFonts w:cs="Tinos"/>
                <w:b/>
                <w:bCs/>
                <w:lang w:bidi="hi-IN"/>
              </w:rPr>
              <w:t>304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b/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lang w:bidi="hi-IN"/>
              </w:rPr>
              <w:t>16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b/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lang w:bidi="hi-I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b/>
                <w:b/>
                <w:bCs/>
                <w:color w:val="000000"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eastAsia="DejaVu Sans"/>
                <w:color w:val="000000"/>
                <w:lang w:bidi="hi-IN"/>
              </w:rPr>
            </w:pPr>
            <w:r>
              <w:rPr>
                <w:b/>
                <w:bCs/>
                <w:lang w:bidi="hi-IN"/>
              </w:rPr>
              <w:t>22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rmal"/>
        <w:ind w:firstLine="567"/>
        <w:jc w:val="both"/>
        <w:rPr>
          <w:bCs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зарегистрировано 47 пожаров (в жилом секторе 7), в результате которых 1 человек травмирован, погибших нет.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b/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/>
      </w:pPr>
      <w:bookmarkStart w:id="2" w:name="_Hlk133589652"/>
      <w:r>
        <w:rPr>
          <w:sz w:val="28"/>
          <w:szCs w:val="28"/>
        </w:rPr>
        <w:t>На дорогах области за прошедшие сутки зарегистрировано 5 ДТП, в результате которых 5 человек травмировано, погибших нет.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08:00 09 мая на контроле остается 2 перелива через автомобильные дороги местного значения в двух районах (Кыштовский, Северный). Сотрудниками ДРСУ организован мониторинг, выставлены предупреждающие знаки, проводится отсыпка дорожного полотна. 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3" w:name="_Hlk112072656"/>
      <w:bookmarkStart w:id="4" w:name="_Hlk116826015"/>
      <w:bookmarkStart w:id="5" w:name="_Hlk100251273"/>
      <w:bookmarkStart w:id="6" w:name="_Hlk99801931"/>
      <w:bookmarkStart w:id="7" w:name="_Hlk101450800"/>
      <w:bookmarkStart w:id="8" w:name="_Hlk113283673"/>
      <w:r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Переменная облачность, местами небольшие дожди, грозы, при грозах в отдельных районах умеренные дожди, днем с градом, ночью по востоку преимущественно без осадков.</w:t>
      </w:r>
    </w:p>
    <w:p>
      <w:pPr>
        <w:pStyle w:val="Normal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Ветер ночью юго-восточный  4-9 м/с,</w:t>
      </w:r>
      <w:r>
        <w:rPr/>
        <w:t xml:space="preserve"> </w:t>
      </w:r>
      <w:r>
        <w:rPr>
          <w:sz w:val="28"/>
          <w:szCs w:val="28"/>
          <w:lang w:eastAsia="ru-RU"/>
        </w:rPr>
        <w:t>местами порывы до16 м/с, днем юго-западный  7-12 м/с, местами порывы до 17 м/с, при грозах до 22 м/с.</w:t>
      </w:r>
    </w:p>
    <w:p>
      <w:pPr>
        <w:pStyle w:val="Normal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Температура воздуха ночью +10, +15 °С, местами +4,+9 °С,  днём +22, +27 °С, по западу +16, +21 °С.  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 В отдельных районах ожидается повышенное содержание пыли (взвешенных веществ).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ближайшие сутки продолжится незначительное увеличение уровня воды в реках Омь, Тартас и их притоках. В Убинском и Северном районах, достижение критических отметок маловероятно.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Кыштовском районе на реке Тара, возможно достижение отметки выше критических значений и подтопление до 5-ти жилых домов частного сектора по ул. Набережная, расположенных за дамбой (критический уровень 800 см. Для остальных домов в н.п. Кыштовка, огороженных дамбой, критический уровень составляет 950 см. Вероятность выпадения умеренных осадков может способствовать более быстрому поднятию уровня воды.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Сбросы в нижний бьеф с Новосибирского водохранилища планируются 3250±50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270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10см.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Магнитное поле Земли ожидается спокойное. Ухудшение условий</w:t>
        <w:br/>
        <w:t>КВ-радиосвязи маловероятно. Озоновый слой выше нормы.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16 районов Новосибирской области (Венгеровского, Чановского, Убинского, Каргатского, Чулымского, Коченевского, Колыванского, Чистоозерного, Купинского, Баганского, Здвинского, Доволенского, Кочковского, Искитимского, Краснозерского и Карасукского) прогнозируется высокая пожароопасность 4 класса. На остальной территории области прогнозируется пожароопасность 3-го класса.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 связи с выездом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садово – дачных обществ.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установившейся теплой погодой и порывами ветра до 17- 22 м/с, на территории НСО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 районах с высокой пожароопасностью 4 класса.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/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rPr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>
      <w:pPr>
        <w:pStyle w:val="Normal"/>
        <w:ind w:firstLine="567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>
      <w:pPr>
        <w:pStyle w:val="Normal"/>
        <w:ind w:firstLine="567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связанный с перекалом печей и использованием обогревательных устройств, в том числе кустарного производства;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неправильным устройством и неисправностью отопительных печей и дымоходов;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- использованием для обогрева помещений газового оборудования.</w:t>
      </w:r>
    </w:p>
    <w:p>
      <w:pPr>
        <w:pStyle w:val="Normal"/>
        <w:ind w:firstLine="567"/>
        <w:jc w:val="both"/>
        <w:rPr/>
      </w:pPr>
      <w:bookmarkStart w:id="10" w:name="_Hlk152942468"/>
      <w:r>
        <w:rPr>
          <w:sz w:val="28"/>
          <w:szCs w:val="28"/>
        </w:rPr>
        <w:t>Причинами возгорания могут стать неосторожное обращение населения с огнём, в том числе при курении.</w:t>
      </w:r>
      <w:bookmarkEnd w:id="10"/>
    </w:p>
    <w:p>
      <w:pPr>
        <w:pStyle w:val="Normal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1" w:name="_Hlk163747381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 связи с прохождением весеннего половодья преимущественно в северных районах Новосибирской области,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</w:t>
      </w:r>
      <w:bookmarkEnd w:id="11"/>
      <w:r>
        <w:rPr>
          <w:sz w:val="28"/>
          <w:szCs w:val="28"/>
        </w:rPr>
        <w:t>, преимущественно в северных районах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2" w:name="_Hlk122957635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порывами ветра  при грозах до 22 м/с возможно падение слабозакреплённых конструкций, а также аварийных деревьев или их частей.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2"/>
      <w:r>
        <w:rPr>
          <w:b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Установившаяся тёплая погода в выходные дни способствует массовому выезду населения к водоемам области, в связи с этим  возрастает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 и охоте на водоплавающую дичь,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2.13.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Осадки в виде дождя, град,  высокий трафик движения, особенно в пригородных направлениях, ухудшение дорожного покрытия, большое количество автотранспорта, в том числе</w:t>
      </w:r>
      <w:r>
        <w:rPr/>
        <w:t xml:space="preserve"> </w:t>
      </w:r>
      <w:r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>
      <w:pPr>
        <w:pStyle w:val="Normal"/>
        <w:ind w:right="-2" w:firstLine="567"/>
        <w:jc w:val="both"/>
        <w:rPr/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14. В северных районах области (Кыштовского (р. Майзас, р. Тара), Северного (р. Тара, р. Тартас), Колыванского (р. Бакса)) главам администраций в период весеннего половодья, контролировать работу временных гидропостов, с передачей информации в оперативную дежурную смену ЦУКС ГУ МЧС России по Новосибирской области с интервалом каждые 4 часа.</w:t>
      </w:r>
      <w:bookmarkStart w:id="15" w:name="undefined"/>
      <w:bookmarkEnd w:id="15"/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15. На территории Новосибирской области постановлением Правительства Новосибирской области от 15.04.2024 года № 186-п установлен «Особый противопожарный режим» с 15 апреля по 13 мая 2024 года.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обеспечить готовность водовозной и землеройной техники для возможного использования в тушении пожаров;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обеспечить ремонт и надлежащее содержание подъездов к источникам наружного противопожарного водоснабжения;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а) взять на контроль территории бесхозяйных и длительное время не эксплуатируемых приусадебных участков;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усилить мониторинг складывающейся оперативной обстановки с природными пожарами;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bCs/>
          <w:color w:val="000000"/>
          <w:sz w:val="28"/>
          <w:szCs w:val="28"/>
        </w:rPr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16. В соответствии с постановлением губернатора Новосибирской области от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  <w:highlight w:val="white"/>
        </w:rPr>
        <w:t xml:space="preserve">17.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усилить меры по контролю за состоянием имеющихся источников наружного противопожарного водоснабжения;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организовать обучение населения способам защиты и действиям в случае возникновения чрезвычайной ситуации;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готовность к проведению эвакуационных мероприятий в случае возникновения чрезвычайной ситуации;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18.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 CYR"/>
          <w:color w:val="000000"/>
          <w:sz w:val="28"/>
          <w:szCs w:val="28"/>
          <w:lang w:eastAsia="ru-RU"/>
        </w:rPr>
        <w:t>19.В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20.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16" w:name="_Hlk163747752"/>
      <w:bookmarkStart w:id="17" w:name="_Hlk163747752"/>
      <w:bookmarkEnd w:id="17"/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/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3579495</wp:posOffset>
            </wp:positionH>
            <wp:positionV relativeFrom="paragraph">
              <wp:posOffset>19685</wp:posOffset>
            </wp:positionV>
            <wp:extent cx="836295" cy="39052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полковник вн. службы                                                                   А.Н. Савицкий</w:t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color w:val="000000"/>
          <w:sz w:val="16"/>
          <w:szCs w:val="16"/>
        </w:rPr>
        <w:t>исп. Авдеева Ю. А.</w:t>
      </w:r>
    </w:p>
    <w:p>
      <w:pPr>
        <w:pStyle w:val="Normal"/>
        <w:jc w:val="both"/>
        <w:rPr/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3"/>
        <w:gridCol w:w="3547"/>
        <w:gridCol w:w="3403"/>
        <w:gridCol w:w="1556"/>
      </w:tblGrid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6"/>
      <w:type w:val="nextPage"/>
      <w:pgSz w:w="11906" w:h="16838"/>
      <w:pgMar w:left="1701" w:right="567" w:gutter="0" w:header="284" w:top="1134" w:footer="0" w:bottom="1135"/>
      <w:pgNumType w:fmt="decimal"/>
      <w:formProt w:val="false"/>
      <w:titlePg/>
      <w:textDirection w:val="lrTb"/>
      <w:docGrid w:type="default" w:linePitch="36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6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3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7">
    <w:name w:val="Hyperlink"/>
    <w:qFormat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6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uiPriority w:val="10"/>
    <w:qFormat/>
    <w:rPr>
      <w:sz w:val="48"/>
      <w:szCs w:val="48"/>
    </w:rPr>
  </w:style>
  <w:style w:type="character" w:styleId="Style9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0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3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1" w:customStyle="1">
    <w:name w:val="Стиль4 Знак"/>
    <w:qFormat/>
    <w:rPr>
      <w:color w:val="0000FF"/>
      <w:sz w:val="24"/>
      <w:szCs w:val="24"/>
    </w:rPr>
  </w:style>
  <w:style w:type="character" w:styleId="212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3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2" w:customStyle="1">
    <w:name w:val="Знак примечания1"/>
    <w:qFormat/>
    <w:rPr>
      <w:sz w:val="16"/>
      <w:szCs w:val="16"/>
    </w:rPr>
  </w:style>
  <w:style w:type="character" w:styleId="Style14" w:customStyle="1">
    <w:name w:val="Текст примечания Знак"/>
    <w:qFormat/>
    <w:rPr/>
  </w:style>
  <w:style w:type="character" w:styleId="Style15" w:customStyle="1">
    <w:name w:val="Тема примечания Знак"/>
    <w:qFormat/>
    <w:rPr>
      <w:b/>
      <w:bCs/>
    </w:rPr>
  </w:style>
  <w:style w:type="character" w:styleId="214" w:customStyle="1">
    <w:name w:val="Неразрешенное упоминание2"/>
    <w:qFormat/>
    <w:rPr>
      <w:color w:val="605E5C"/>
      <w:shd w:fill="E1DFDD" w:val="clear"/>
    </w:rPr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character" w:styleId="Style17" w:customStyle="1">
    <w:name w:val="Основной текст Знак"/>
    <w:basedOn w:val="DefaultParagraphFont"/>
    <w:qFormat/>
    <w:rPr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link w:val="Style17"/>
    <w:qFormat/>
    <w:pPr>
      <w:widowControl w:val="false"/>
      <w:jc w:val="both"/>
    </w:pPr>
    <w:rPr/>
  </w:style>
  <w:style w:type="paragraph" w:styleId="Style20">
    <w:name w:val="List"/>
    <w:basedOn w:val="Style19"/>
    <w:qFormat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Style18"/>
    <w:next w:val="Index1"/>
    <w:qFormat/>
    <w:pPr/>
    <w:rPr/>
  </w:style>
  <w:style w:type="paragraph" w:styleId="Style23">
    <w:name w:val="Title"/>
    <w:basedOn w:val="Normal"/>
    <w:next w:val="Style19"/>
    <w:link w:val="Style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3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tyle24">
    <w:name w:val="Index Heading"/>
    <w:basedOn w:val="Style18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2"/>
    <w:uiPriority w:val="99"/>
    <w:semiHidden/>
    <w:unhideWhenUsed/>
    <w:qFormat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1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Style28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5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2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1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0">
    <w:name w:val="Body Text Indent"/>
    <w:basedOn w:val="Normal"/>
    <w:qFormat/>
    <w:pPr>
      <w:ind w:left="851" w:firstLine="709"/>
      <w:jc w:val="both"/>
    </w:pPr>
    <w:rPr>
      <w:sz w:val="28"/>
    </w:rPr>
  </w:style>
  <w:style w:type="paragraph" w:styleId="Style31">
    <w:name w:val="Footer"/>
    <w:basedOn w:val="Normal"/>
    <w:link w:val="Style16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9"/>
    <w:uiPriority w:val="11"/>
    <w:qFormat/>
    <w:pPr>
      <w:spacing w:before="200" w:after="200"/>
    </w:pPr>
    <w:rPr>
      <w:sz w:val="24"/>
      <w:szCs w:val="24"/>
    </w:rPr>
  </w:style>
  <w:style w:type="paragraph" w:styleId="115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6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3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2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6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7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8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9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821" w:customStyle="1">
    <w:name w:val="Заголовок8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Заголовок2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8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9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10" w:customStyle="1">
    <w:name w:val="Заголовок1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2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4" w:customStyle="1">
    <w:name w:val="Заголовок5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5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6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5" w:customStyle="1">
    <w:name w:val="Заголовок4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6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7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6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0" w:customStyle="1">
    <w:name w:val="Заголовок2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4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5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7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6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8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7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Содержимое врезки"/>
    <w:basedOn w:val="Style19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8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7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8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affc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8038-8CE3-4326-B13B-0318D54F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3599</TotalTime>
  <Application>LibreOffice/7.4.1.2$Linux_X86_64 LibreOffice_project/3c58a8f3a960df8bc8fd77b461821e42c061c5f0</Application>
  <AppVersion>15.0000</AppVersion>
  <Pages>25</Pages>
  <Words>6331</Words>
  <Characters>44701</Characters>
  <CharactersWithSpaces>49962</CharactersWithSpaces>
  <Paragraphs>1203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2024-03-11T08:54:00Z</dcterms:created>
  <dc:creator>Gpn_gor3</dc:creator>
  <dc:description/>
  <dc:language>ru-RU</dc:language>
  <cp:lastModifiedBy/>
  <dcterms:modified xsi:type="dcterms:W3CDTF">2024-05-09T15:22:56Z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