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11.10.2024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286-20-3-2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на территории Новосибирской области на 12.10.2024 г.</w:t>
      </w:r>
    </w:p>
    <w:p>
      <w:pPr>
        <w:pStyle w:val="Normal"/>
        <w:jc w:val="center"/>
        <w:rPr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b/>
          <w:sz w:val="28"/>
          <w:szCs w:val="28"/>
          <w:shd w:fill="FFFFFF" w:val="clear"/>
        </w:rPr>
        <w:t>Опасные гидрометеорологические явления</w:t>
      </w:r>
    </w:p>
    <w:tbl>
      <w:tblPr>
        <w:tblW w:w="9894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234"/>
        <w:gridCol w:w="7659"/>
      </w:tblGrid>
      <w:tr>
        <w:trPr>
          <w:trHeight w:val="745" w:hRule="atLeast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color w:val="000000"/>
                <w:sz w:val="28"/>
                <w:szCs w:val="28"/>
                <w:shd w:fill="auto" w:val="clear"/>
              </w:rPr>
              <w:t>12-14.10 местами сохранится высокая пожароопасность (4 класса).</w:t>
            </w:r>
          </w:p>
        </w:tc>
      </w:tr>
    </w:tbl>
    <w:p>
      <w:pPr>
        <w:pStyle w:val="Normal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По данным Службы МОС в г. Новосибирск превышений ПДК нет.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 данным КЛМС 'Искитим' в гг. Искитим и Бердск за превышений ПДК нет.</w:t>
      </w:r>
      <w:r>
        <w:rPr>
          <w:iCs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b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113,23 мБС (Балтийской системы измерений), сброс 1230 м³/с, приток 1250 м³/с. Уровень воды в реке Обь в районе</w:t>
        <w:br/>
        <w:t>г. Новосибирск находится на отметке 15 см.</w:t>
      </w:r>
    </w:p>
    <w:p>
      <w:pPr>
        <w:pStyle w:val="Normal"/>
        <w:ind w:firstLine="567"/>
        <w:jc w:val="both"/>
        <w:rPr>
          <w:b/>
          <w:bCs/>
          <w:sz w:val="28"/>
          <w:szCs w:val="28"/>
          <w:highlight w:val="yellow"/>
          <w:shd w:fill="FFFF00" w:val="clear"/>
        </w:rPr>
      </w:pPr>
      <w:r>
        <w:rPr>
          <w:b/>
          <w:bCs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1.5. Лесопожарная обстановка.</w:t>
      </w:r>
    </w:p>
    <w:p>
      <w:pPr>
        <w:pStyle w:val="Normal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данным ФГБУ «Западно - Сибирское УГМС» на территории Новосибирской области в Кыштовском, Северном, Усть-Таркском, Венгеровском, Чановском, Татарском, Куйбышевском, Убинском, Барабинском, Каргатском, Чулымском, Коченевском, Колыванском, Мошковском, Новосибирском, Тогучинском, Чистоозерном, Купинском, Баганском, Здвинском, Доволенском, Кочковском, Ордынском, Черепановском, Маслянинском, Краснозерском, Карасукском и Сузунском районах установилась высокая пожароопасность 4 класса, местами – пожароопасность 1-го класса.</w:t>
      </w:r>
    </w:p>
    <w:p>
      <w:pPr>
        <w:pStyle w:val="126"/>
        <w:ind w:firstLine="567"/>
        <w:jc w:val="both"/>
        <w:rPr/>
      </w:pPr>
      <w:r>
        <w:rPr>
          <w:rStyle w:val="1"/>
          <w:bCs/>
          <w:iCs/>
          <w:color w:val="000000"/>
          <w:spacing w:val="-6"/>
          <w:sz w:val="26"/>
          <w:szCs w:val="26"/>
        </w:rPr>
        <w:t>По данным космического мониторинга за сут</w:t>
      </w:r>
      <w:r>
        <w:rPr>
          <w:rStyle w:val="1"/>
          <w:iCs/>
          <w:color w:val="000000"/>
          <w:spacing w:val="-6"/>
          <w:sz w:val="26"/>
          <w:szCs w:val="26"/>
        </w:rPr>
        <w:t>ки на территории области зафиксировано 4 термические точки (АППГ - 23, из них в 5-ти километровой зоне - 4 (АППГ — 16). Ликвидировано - 2, не подтверждено - 2.</w:t>
      </w:r>
    </w:p>
    <w:p>
      <w:pPr>
        <w:pStyle w:val="126"/>
        <w:ind w:firstLine="567"/>
        <w:jc w:val="both"/>
        <w:rPr/>
      </w:pPr>
      <w:r>
        <w:rPr>
          <w:rStyle w:val="1"/>
          <w:bCs/>
          <w:iCs/>
          <w:color w:val="000000"/>
          <w:spacing w:val="-6"/>
          <w:sz w:val="26"/>
          <w:szCs w:val="26"/>
        </w:rPr>
        <w:t>Всего с начала года зарегистрировано 901 термическая точка (АППГ - 8289), из них в 5-ти километровой зоне — 748 (АППГ - 5190).</w:t>
      </w:r>
    </w:p>
    <w:tbl>
      <w:tblPr>
        <w:tblpPr w:vertAnchor="text" w:horzAnchor="page" w:leftFromText="180" w:rightFromText="180" w:tblpX="1452" w:tblpY="243"/>
        <w:tblW w:w="992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5"/>
        <w:gridCol w:w="2009"/>
        <w:gridCol w:w="992"/>
        <w:gridCol w:w="1232"/>
        <w:gridCol w:w="1188"/>
        <w:gridCol w:w="1145"/>
        <w:gridCol w:w="1018"/>
        <w:gridCol w:w="841"/>
        <w:gridCol w:w="957"/>
      </w:tblGrid>
      <w:tr>
        <w:trPr>
          <w:trHeight w:val="389" w:hRule="atLeast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color w:val="000000"/>
              </w:rPr>
            </w:pPr>
            <w:r>
              <w:rPr>
                <w:rFonts w:cs="Tinos"/>
                <w:color w:val="000000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п/п</w:t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муниципального района</w:t>
            </w:r>
          </w:p>
        </w:tc>
        <w:tc>
          <w:tcPr>
            <w:tcW w:w="4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Обнаружено термических точек по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средствам космического мониторинга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Подтвер-дились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Плановый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отжиг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Не подтвер-дились</w:t>
            </w:r>
          </w:p>
        </w:tc>
      </w:tr>
      <w:tr>
        <w:trPr>
          <w:trHeight w:val="374" w:hRule="atLeast"/>
        </w:trPr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за сутки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Нарастающим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итогом с начала года</w:t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34" w:hRule="atLeast"/>
        </w:trPr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всего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из них 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-99" w:leader="none"/>
              </w:tabs>
              <w:jc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5 км зоне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из них 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5 км зоне</w:t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4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nos"/>
                <w:color w:val="000000"/>
              </w:rPr>
              <w:t>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Искитимский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nos"/>
                <w:bCs/>
                <w:color w:val="000000"/>
              </w:rPr>
            </w:pPr>
            <w:r>
              <w:rPr>
                <w:rFonts w:cs="Tinos"/>
                <w:bCs/>
                <w:color w:val="000000"/>
              </w:rPr>
              <w:t>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nos"/>
                <w:bCs/>
                <w:color w:val="000000"/>
              </w:rPr>
            </w:pPr>
            <w:r>
              <w:rPr>
                <w:rFonts w:cs="Tinos"/>
                <w:bCs/>
                <w:color w:val="000000"/>
              </w:rPr>
              <w:t>66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Tinos"/>
                <w:bCs/>
                <w:color w:val="000000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Tinos"/>
                <w:bCs/>
                <w:color w:val="000000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Tinos"/>
                <w:bCs/>
                <w:color w:val="000000"/>
              </w:rPr>
            </w:pPr>
            <w:r>
              <w:rPr>
                <w:rFonts w:cs="Tinos"/>
                <w:bCs/>
                <w:color w:val="000000"/>
              </w:rPr>
              <w:t>1</w:t>
            </w:r>
          </w:p>
        </w:tc>
      </w:tr>
      <w:tr>
        <w:trPr>
          <w:trHeight w:val="204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nos"/>
                <w:color w:val="000000"/>
              </w:rPr>
            </w:pPr>
            <w:r>
              <w:rPr>
                <w:rFonts w:cs="Tinos"/>
                <w:color w:val="000000"/>
              </w:rPr>
              <w:t>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Куйбышевский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nos"/>
                <w:bCs/>
                <w:color w:val="000000"/>
              </w:rPr>
            </w:pPr>
            <w:r>
              <w:rPr>
                <w:rFonts w:cs="Tinos"/>
                <w:bCs/>
                <w:color w:val="000000"/>
              </w:rPr>
              <w:t>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nos"/>
                <w:bCs/>
                <w:color w:val="000000"/>
              </w:rPr>
            </w:pPr>
            <w:r>
              <w:rPr>
                <w:rFonts w:cs="Tinos"/>
                <w:bCs/>
                <w:color w:val="000000"/>
              </w:rPr>
              <w:t>43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Tinos"/>
                <w:bCs/>
                <w:color w:val="000000"/>
              </w:rPr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Tinos"/>
                <w:bCs/>
                <w:color w:val="000000"/>
              </w:rPr>
            </w:pPr>
            <w:r>
              <w:rPr>
                <w:rFonts w:cs="Tinos"/>
                <w:bCs/>
                <w:color w:val="000000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Tinos"/>
                <w:bCs/>
                <w:color w:val="000000"/>
              </w:rPr>
            </w:pPr>
            <w:r>
              <w:rPr>
                <w:rFonts w:cs="Tinos"/>
                <w:bCs/>
                <w:color w:val="000000"/>
              </w:rPr>
            </w:r>
          </w:p>
        </w:tc>
      </w:tr>
      <w:tr>
        <w:trPr>
          <w:trHeight w:val="204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Татарский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nos"/>
                <w:bCs/>
                <w:color w:val="000000"/>
              </w:rPr>
            </w:pPr>
            <w:r>
              <w:rPr>
                <w:rFonts w:cs="Tinos"/>
                <w:bCs/>
                <w:color w:val="000000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nos"/>
                <w:bCs/>
                <w:color w:val="000000"/>
              </w:rPr>
            </w:pPr>
            <w:r>
              <w:rPr>
                <w:rFonts w:cs="Tinos"/>
                <w:bCs/>
                <w:color w:val="000000"/>
              </w:rPr>
              <w:t>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Tinos"/>
                <w:bCs/>
                <w:color w:val="000000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Tinos"/>
                <w:bCs/>
                <w:color w:val="000000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Tinos"/>
                <w:bCs/>
                <w:color w:val="000000"/>
              </w:rPr>
            </w:pPr>
            <w:r>
              <w:rPr>
                <w:rFonts w:cs="Tinos"/>
                <w:bCs/>
                <w:color w:val="000000"/>
              </w:rPr>
              <w:t>1</w:t>
            </w:r>
          </w:p>
        </w:tc>
      </w:tr>
      <w:tr>
        <w:trPr>
          <w:trHeight w:val="204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nos"/>
                <w:color w:val="000000"/>
              </w:rPr>
            </w:pPr>
            <w:r>
              <w:rPr>
                <w:rFonts w:cs="Tinos"/>
                <w:color w:val="000000"/>
              </w:rPr>
              <w:t>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nos"/>
                <w:color w:val="000000"/>
              </w:rPr>
            </w:pPr>
            <w:r>
              <w:rPr>
                <w:rFonts w:cs="Tinos"/>
                <w:bCs/>
                <w:color w:val="000000"/>
              </w:rPr>
              <w:t>Убинский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Tinos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Tinos"/>
                <w:color w:val="000000"/>
              </w:rPr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nos"/>
                <w:bCs/>
                <w:color w:val="000000"/>
              </w:rPr>
            </w:pPr>
            <w:r>
              <w:rPr>
                <w:rFonts w:cs="Tinos"/>
                <w:bCs/>
                <w:color w:val="000000"/>
              </w:rPr>
              <w:t>37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nos"/>
                <w:bCs/>
                <w:color w:val="000000"/>
              </w:rPr>
            </w:pPr>
            <w:r>
              <w:rPr>
                <w:rFonts w:cs="Tinos"/>
                <w:bCs/>
                <w:color w:val="000000"/>
              </w:rPr>
              <w:t>22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Tinos"/>
                <w:bCs/>
                <w:color w:val="000000"/>
              </w:rPr>
            </w:pPr>
            <w:r>
              <w:rPr>
                <w:rFonts w:cs="Tinos"/>
                <w:bCs/>
                <w:color w:val="000000"/>
              </w:rPr>
              <w:t>3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Tinos"/>
                <w:bCs/>
                <w:color w:val="000000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Tinos"/>
                <w:bCs/>
                <w:color w:val="000000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372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nos"/>
                <w:bCs/>
                <w:color w:val="000000"/>
              </w:rPr>
            </w:pPr>
            <w:r>
              <w:rPr>
                <w:rFonts w:cs="Tinos"/>
                <w:bCs/>
                <w:color w:val="000000"/>
              </w:rPr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nos"/>
                <w:b/>
                <w:color w:val="00000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color w:val="000000"/>
              </w:rPr>
            </w:pPr>
            <w:r>
              <w:rPr>
                <w:rFonts w:cs="Tinos"/>
                <w:b/>
                <w:bCs/>
                <w:color w:val="000000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color w:val="000000"/>
              </w:rPr>
            </w:pPr>
            <w:r>
              <w:rPr>
                <w:rFonts w:cs="Tinos"/>
                <w:b/>
                <w:bCs/>
                <w:color w:val="000000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nos"/>
                <w:b/>
                <w:bCs/>
                <w:color w:val="000000"/>
              </w:rPr>
              <w:t>901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nos"/>
                <w:b/>
                <w:bCs/>
                <w:color w:val="000000"/>
              </w:rPr>
              <w:t>748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nos"/>
                <w:b/>
                <w:bCs/>
                <w:color w:val="000000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nos"/>
                <w:b/>
                <w:bCs/>
                <w:color w:val="00000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nos"/>
                <w:b/>
                <w:bCs/>
                <w:color w:val="000000"/>
              </w:rPr>
              <w:t>2</w:t>
            </w:r>
          </w:p>
        </w:tc>
      </w:tr>
    </w:tbl>
    <w:p>
      <w:pPr>
        <w:pStyle w:val="Normal"/>
        <w:ind w:firstLine="559"/>
        <w:jc w:val="both"/>
        <w:rPr>
          <w:color w:val="000000"/>
          <w:sz w:val="16"/>
          <w:szCs w:val="16"/>
          <w:highlight w:val="yellow"/>
          <w:lang w:eastAsia="ru-RU"/>
        </w:rPr>
      </w:pPr>
      <w:r>
        <w:rPr>
          <w:color w:val="000000"/>
          <w:sz w:val="16"/>
          <w:szCs w:val="16"/>
          <w:highlight w:val="yellow"/>
          <w:lang w:eastAsia="ru-RU"/>
        </w:rPr>
      </w:r>
    </w:p>
    <w:p>
      <w:pPr>
        <w:pStyle w:val="Normal"/>
        <w:ind w:firstLine="559"/>
        <w:jc w:val="both"/>
        <w:rPr>
          <w:color w:val="000000"/>
          <w:sz w:val="16"/>
          <w:szCs w:val="16"/>
          <w:highlight w:val="yellow"/>
          <w:lang w:eastAsia="ru-RU"/>
        </w:rPr>
      </w:pPr>
      <w:r>
        <w:rPr>
          <w:color w:val="000000"/>
          <w:sz w:val="16"/>
          <w:szCs w:val="16"/>
          <w:highlight w:val="yellow"/>
          <w:lang w:eastAsia="ru-RU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сутки лесные пожары не зарегистрированы. Действующих нет.</w:t>
      </w:r>
    </w:p>
    <w:p>
      <w:pPr>
        <w:pStyle w:val="NoSpacing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</w:t>
      </w:r>
      <w:r>
        <w:rPr>
          <w:rFonts w:eastAsia="Tahoma" w:cs="Times New Roman" w:ascii="Times New Roman" w:hAnsi="Times New Roman"/>
          <w:bCs/>
          <w:color w:val="auto"/>
          <w:sz w:val="28"/>
          <w:szCs w:val="28"/>
          <w:lang w:bidi="hi-IN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Cs/>
          <w:iCs/>
          <w:sz w:val="28"/>
          <w:szCs w:val="28"/>
          <w:highlight w:val="yellow"/>
          <w:shd w:fill="FFFF00" w:val="clear"/>
        </w:rPr>
      </w:pPr>
      <w:r>
        <w:rPr>
          <w:bCs/>
          <w:iCs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b/>
          <w:color w:val="000000"/>
          <w:sz w:val="28"/>
          <w:szCs w:val="28"/>
        </w:rPr>
        <w:t>1.6. Геомагнитная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1.7. Сейсмическая обстановка.</w:t>
      </w:r>
    </w:p>
    <w:p>
      <w:pPr>
        <w:pStyle w:val="Normal"/>
        <w:ind w:firstLine="567"/>
        <w:jc w:val="both"/>
        <w:rPr/>
      </w:pPr>
      <w:r>
        <w:rPr>
          <w:bCs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>
          <w:b/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>
          <w:b/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>
          <w:b/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>
          <w:b/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села Голомыскино Завьяловского сельского совета Тогучинского района Новосибирской области установлены с 08.10.2024 по 06.12.2024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1.10. Пожарная обстановка.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прошедшие сутки на территории области зарегистрировано 14 пожаров, из них 6 в жилом секторе, в результате которых 1 человек травмирован, 1 человек погиб (Чановский район, п. Озеро Карачи).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highlight w:val="yellow"/>
          <w:shd w:fill="FFFF00" w:val="clear"/>
        </w:rPr>
      </w:pPr>
      <w:r>
        <w:rPr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1.13.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1.14. Обстановка на дорогах.</w:t>
      </w:r>
    </w:p>
    <w:p>
      <w:pPr>
        <w:pStyle w:val="Normal"/>
        <w:ind w:firstLine="567"/>
        <w:jc w:val="both"/>
        <w:rPr/>
      </w:pPr>
      <w:bookmarkStart w:id="0" w:name="_Hlk133589652"/>
      <w:r>
        <w:rPr>
          <w:bCs/>
          <w:color w:val="000000"/>
          <w:sz w:val="28"/>
          <w:szCs w:val="28"/>
        </w:rPr>
        <w:t>На дорогах области за прошедшие сутки зарегистрировано 6 ДТП, в результате которых 6 человек травмировано, 1 человек погиб.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Автомобильные дороги в проезжем состоянии.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2.1. Метеорологическая обстановка</w:t>
      </w:r>
      <w:bookmarkStart w:id="1" w:name="_Hlk100251273"/>
      <w:bookmarkStart w:id="2" w:name="_Hlk101450800"/>
      <w:bookmarkStart w:id="3" w:name="_Hlk99801931"/>
      <w:bookmarkStart w:id="4" w:name="_Hlk112072656"/>
      <w:bookmarkStart w:id="5" w:name="_Hlk116826015"/>
      <w:bookmarkStart w:id="6" w:name="_Hlk113283673"/>
      <w:r>
        <w:rPr>
          <w:b/>
          <w:sz w:val="28"/>
          <w:szCs w:val="28"/>
          <w:shd w:fill="auto" w:val="clear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еременная облачность, ночью местами небольшие, по югу местами умеренные осадки в виде дождя и мокрого снега, днем преимущественно без осадков, по юго-востоку местами небольшие дожди с мокрым снегом. Местами гололедные явления</w:t>
      </w:r>
      <w:r>
        <w:rPr>
          <w:bCs/>
          <w:color w:val="000000"/>
          <w:sz w:val="28"/>
          <w:szCs w:val="28"/>
          <w:shd w:fill="auto" w:val="clear"/>
        </w:rPr>
        <w:t xml:space="preserve"> 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 xml:space="preserve">Ветер северо-восточный, </w:t>
      </w:r>
      <w:r>
        <w:rPr>
          <w:bCs/>
          <w:color w:val="000000"/>
          <w:sz w:val="28"/>
          <w:szCs w:val="28"/>
          <w:shd w:fill="auto" w:val="clear"/>
        </w:rPr>
        <w:t>8</w:t>
      </w:r>
      <w:r>
        <w:rPr>
          <w:bCs/>
          <w:color w:val="000000"/>
          <w:sz w:val="28"/>
          <w:szCs w:val="28"/>
          <w:shd w:fill="auto" w:val="clear"/>
        </w:rPr>
        <w:t>-1</w:t>
      </w:r>
      <w:r>
        <w:rPr>
          <w:bCs/>
          <w:color w:val="000000"/>
          <w:sz w:val="28"/>
          <w:szCs w:val="28"/>
          <w:shd w:fill="auto" w:val="clear"/>
        </w:rPr>
        <w:t>3</w:t>
      </w:r>
      <w:r>
        <w:rPr>
          <w:bCs/>
          <w:color w:val="000000"/>
          <w:sz w:val="28"/>
          <w:szCs w:val="28"/>
          <w:shd w:fill="auto" w:val="clear"/>
        </w:rPr>
        <w:t xml:space="preserve"> м/с, местами порывы </w:t>
      </w:r>
      <w:r>
        <w:rPr>
          <w:bCs/>
          <w:color w:val="000000"/>
          <w:sz w:val="28"/>
          <w:szCs w:val="28"/>
          <w:shd w:fill="auto" w:val="clear"/>
        </w:rPr>
        <w:t xml:space="preserve">до </w:t>
      </w:r>
      <w:r>
        <w:rPr>
          <w:bCs/>
          <w:color w:val="000000"/>
          <w:sz w:val="28"/>
          <w:szCs w:val="28"/>
          <w:shd w:fill="auto" w:val="clear"/>
        </w:rPr>
        <w:t>20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Температура воздуха ночью -</w:t>
      </w:r>
      <w:r>
        <w:rPr>
          <w:bCs/>
          <w:color w:val="000000"/>
          <w:sz w:val="28"/>
          <w:szCs w:val="28"/>
          <w:shd w:fill="auto" w:val="clear"/>
        </w:rPr>
        <w:t>3</w:t>
      </w:r>
      <w:r>
        <w:rPr>
          <w:bCs/>
          <w:color w:val="000000"/>
          <w:sz w:val="28"/>
          <w:szCs w:val="28"/>
          <w:shd w:fill="auto" w:val="clear"/>
        </w:rPr>
        <w:t>, -</w:t>
      </w:r>
      <w:r>
        <w:rPr>
          <w:bCs/>
          <w:color w:val="000000"/>
          <w:sz w:val="28"/>
          <w:szCs w:val="28"/>
          <w:shd w:fill="auto" w:val="clear"/>
        </w:rPr>
        <w:t>8</w:t>
      </w:r>
      <w:r>
        <w:rPr>
          <w:bCs/>
          <w:color w:val="000000"/>
          <w:sz w:val="28"/>
          <w:szCs w:val="28"/>
          <w:shd w:fill="auto" w:val="clear"/>
        </w:rPr>
        <w:t xml:space="preserve">°С, местами </w:t>
      </w:r>
      <w:r>
        <w:rPr>
          <w:bCs/>
          <w:color w:val="000000"/>
          <w:sz w:val="28"/>
          <w:szCs w:val="28"/>
          <w:shd w:fill="auto" w:val="clear"/>
        </w:rPr>
        <w:t xml:space="preserve">до </w:t>
      </w:r>
      <w:r>
        <w:rPr>
          <w:bCs/>
          <w:color w:val="000000"/>
          <w:sz w:val="28"/>
          <w:szCs w:val="28"/>
          <w:shd w:fill="auto" w:val="clear"/>
        </w:rPr>
        <w:t>+</w:t>
      </w:r>
      <w:r>
        <w:rPr>
          <w:bCs/>
          <w:color w:val="000000"/>
          <w:sz w:val="28"/>
          <w:szCs w:val="28"/>
          <w:shd w:fill="auto" w:val="clear"/>
        </w:rPr>
        <w:t>2</w:t>
      </w:r>
      <w:r>
        <w:rPr>
          <w:bCs/>
          <w:color w:val="000000"/>
          <w:sz w:val="28"/>
          <w:szCs w:val="28"/>
          <w:shd w:fill="auto" w:val="clear"/>
        </w:rPr>
        <w:t xml:space="preserve">°С, днём </w:t>
      </w:r>
      <w:r>
        <w:rPr>
          <w:bCs/>
          <w:color w:val="000000"/>
          <w:sz w:val="28"/>
          <w:szCs w:val="28"/>
          <w:shd w:fill="auto" w:val="clear"/>
        </w:rPr>
        <w:t>0</w:t>
      </w:r>
      <w:r>
        <w:rPr>
          <w:bCs/>
          <w:color w:val="000000"/>
          <w:sz w:val="28"/>
          <w:szCs w:val="28"/>
          <w:shd w:fill="auto" w:val="clear"/>
        </w:rPr>
        <w:t xml:space="preserve">, </w:t>
      </w:r>
      <w:r>
        <w:rPr>
          <w:bCs/>
          <w:color w:val="000000"/>
          <w:sz w:val="28"/>
          <w:szCs w:val="28"/>
          <w:shd w:fill="auto" w:val="clear"/>
        </w:rPr>
        <w:t>+5</w:t>
      </w:r>
      <w:r>
        <w:rPr>
          <w:bCs/>
          <w:color w:val="000000"/>
          <w:sz w:val="28"/>
          <w:szCs w:val="28"/>
          <w:shd w:fill="auto" w:val="clear"/>
        </w:rPr>
        <w:t>°С.</w:t>
      </w:r>
    </w:p>
    <w:p>
      <w:pPr>
        <w:pStyle w:val="Normal"/>
        <w:ind w:firstLine="567"/>
        <w:jc w:val="both"/>
        <w:rPr>
          <w:bCs/>
          <w:color w:val="000000"/>
          <w:sz w:val="28"/>
          <w:szCs w:val="28"/>
          <w:highlight w:val="yellow"/>
        </w:rPr>
      </w:pPr>
      <w:r>
        <w:rPr>
          <w:bCs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bCs/>
          <w:color w:val="000000"/>
          <w:sz w:val="28"/>
          <w:szCs w:val="28"/>
        </w:rPr>
        <w:t>Сброс воды из Новосибирского водохранилища составит 1100 ± 50 м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15 ± 10 см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highlight w:val="none"/>
          <w:shd w:fill="auto" w:val="clear"/>
        </w:rPr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Магнитное поле Земли возможно неустойчивое с отдельными слабо возмущенными периодами. Ухудшение условий КВ-радиосвязи возможно в отдельные часы суток. Озоновый слой ниже нормы.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Прогноз лесопожарной обстановки.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ФГБУ «Западно - Сибирское УГМС» на территории Новосибирской области в 19</w:t>
      </w:r>
      <w:bookmarkStart w:id="7" w:name="_GoBack"/>
      <w:bookmarkEnd w:id="7"/>
      <w:r>
        <w:rPr>
          <w:color w:val="000000"/>
          <w:sz w:val="28"/>
          <w:szCs w:val="28"/>
        </w:rPr>
        <w:t xml:space="preserve"> районах (Кыштовском, Северном, Усть-Таркском, Венгеровском, Чановском, Куйбышевском, Убинском, Барабинском, Каргатском, Чулымском, Коченевском, Колыванском, Мошковском, Новосибирском, Тогучинском, Ордынском, Черепановском, Маслянинском и Карасукском) сохранится высокая пожароопасность 4 класса, в остальных районах – пожароопасность 1-го класса.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В связи с высокой пожароопасностью 4 класса и порывами ветра до 20 м/ с, возможно возникновение лесных и ландшафтных пожаров, в том числе с риском перехода на населенные пункты.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Ос</w:t>
      </w:r>
      <w:r>
        <w:rPr>
          <w:sz w:val="28"/>
          <w:szCs w:val="28"/>
        </w:rPr>
        <w:t>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2.6. Прогноз сейсмической обстановки.</w:t>
      </w:r>
    </w:p>
    <w:p>
      <w:pPr>
        <w:pStyle w:val="Normal"/>
        <w:ind w:firstLine="567"/>
        <w:rPr/>
      </w:pPr>
      <w:r>
        <w:rPr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Возникновение ЧС маловероятно.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eastAsia="ar-SA"/>
        </w:rPr>
        <w:t xml:space="preserve">По данным </w:t>
      </w:r>
      <w:r>
        <w:rPr>
          <w:sz w:val="28"/>
          <w:szCs w:val="28"/>
        </w:rPr>
        <w:t>Роспотребнадзора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>
      <w:pPr>
        <w:pStyle w:val="Normal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2.8. Прогноз эпизоотической обстановки.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b/>
          <w:sz w:val="28"/>
          <w:szCs w:val="28"/>
        </w:rPr>
        <w:t>2.9.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 xml:space="preserve">В связи с понижением ночных температур увеличивается риск возникновения пожаров, особенно в районах сельской местности, в частном жилом секторе и </w:t>
      </w:r>
      <w:r>
        <w:rPr>
          <w:sz w:val="28"/>
          <w:szCs w:val="28"/>
        </w:rPr>
        <w:t>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2.10.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9" w:name="_Hlk122957635"/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Продолжатся плановые работы по обеспечению нормативного эксплуатационного запаса угля к проведению отопительного сезона и формированию аварийного запаса материально-технических ресурсов для ликвидации чрезвычайных ситуаций.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связи с прогнозируемыми порывами ветра до 20 м/с, возможно падение аварийных деревьев, а также их частей и слабозакрепленных конструкций.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9"/>
      <w:r>
        <w:rPr>
          <w:b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Сохраняется риск возникновения несчастных случаев и происшествий на водных объектах, связанных с несоблюдением правил поведения на водоемах, 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сезоном охоты и сбором дикоросов</w:t>
      </w:r>
      <w:r>
        <w:rPr>
          <w:sz w:val="28"/>
          <w:szCs w:val="28"/>
        </w:rPr>
        <w:t>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2.14.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Осадки в виде дождя и мокрого снега, большое количество автотранспорта, проведение ремонтных работ дорожного полотна и теплотрасс будут способствовать осложнению обстановки на дорогах и увеличению количества ДТП, с наибольшей вероятностью на внутригородских </w:t>
      </w:r>
      <w:r>
        <w:rPr>
          <w:sz w:val="28"/>
          <w:szCs w:val="28"/>
          <w:shd w:fill="auto" w:val="clear"/>
        </w:rPr>
        <w:t>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32,398 км по 32,569 км, (г. Бердск, протяженность 0,18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43,082 км по 43,812 км (Искитимский район, протяженность 0,765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48,541 км по 48,954 км (Искитимский район, протяженность 0,413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52,710 км по 54,782 км (Искитимский район, протяженность 2,012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- с 96,527 км по 98,205 км (Черепановский район, протяженность 1,678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58,400 км по 59,473 км (Мошковский район, протяженность 1,073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62,409 км по 63,188 км (Мошковский район, протяженность 0,779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69,111 км по 70,752 км (Мошковский район, протяженность 1,641км,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71,418 км по 72,788 км (Мошковский район, протяженность 1,370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90,042 км по 91,863 км (Мошковский район, протяженность 1,443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95,180 км по 96,829 км (Болотнинский район, протяженность 1,649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105,320 км по 106,370 км (Болотнинский район, протяженность 1,350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106,672 км по 108,617 км (Болотнинский район, протяженность 1,945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107,825 км по 108,502 км (Болотнинский район, протяженность 0,677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137,388 км по 138,658 км (Болотнинский район, протяженность 1,270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139,350 км по 141,000 км (Болотнинский район, протяженность 1,650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139,038 км по 139,785 км (Болотнинский район, протяженность 0,757 км, крутой спуск (подъём)).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Регионального значения.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– с 80 по 105 км Ордынского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</w:p>
    <w:p>
      <w:pPr>
        <w:pStyle w:val="Normal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bookmarkStart w:id="11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1"/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на объектах ЖКХ;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на объектах РЭС;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 xml:space="preserve">Проводить проверку исправности резервных источников электроснабжения и уточнить способы доставки их к месту возможной ЧС. 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>
      <w:pPr>
        <w:pStyle w:val="Normal"/>
        <w:spacing w:lineRule="exact" w:line="310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работу по выявлению мест скопления рыбаков. </w:t>
      </w:r>
    </w:p>
    <w:p>
      <w:pPr>
        <w:pStyle w:val="Normal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усилить меры по контролю за состоянием имеющихся источников наружного противопожарного водоснабжения;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средств для защиты населения и территорий от чрезвычайных ситуаций;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проводить обучение населения способам защиты и действиям в случае возникновения чрезвычайной ситуации;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обеспечить готовность к проведению эвакуационных мероприятий в случае возникновения чрезвычайной ситуации.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обеспечить пожарную безопасность на объектах сельскохозяйственного производства и на объектах животноводства;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 xml:space="preserve">проводить с гражданами, имеющими детей, разъяснительную работу по </w:t>
      </w:r>
    </w:p>
    <w:p>
      <w:pPr>
        <w:pStyle w:val="Normal"/>
        <w:spacing w:lineRule="exact" w:line="310"/>
        <w:jc w:val="both"/>
        <w:rPr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14.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/>
      </w:pPr>
      <w:bookmarkStart w:id="12" w:name="_Hlk163747752"/>
      <w:bookmarkEnd w:id="12"/>
      <w:r>
        <w:rPr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/>
      </w:pPr>
      <w:r>
        <w:rPr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/>
      </w:pPr>
      <w:r>
        <w:rPr>
          <w:color w:val="000000"/>
          <w:sz w:val="28"/>
          <w:szCs w:val="28"/>
        </w:rPr>
        <w:t>ЦУКС ГУ МЧС России по Новосибирск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3085465</wp:posOffset>
            </wp:positionH>
            <wp:positionV relativeFrom="paragraph">
              <wp:posOffset>191135</wp:posOffset>
            </wp:positionV>
            <wp:extent cx="1296035" cy="449580"/>
            <wp:effectExtent l="0" t="0" r="0" b="0"/>
            <wp:wrapNone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подполковник вн. службы                                                                         Е.В. Самолыга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 w:tgtFrame="mailto:trepuzov@mail.ru">
              <w:r>
                <w:rPr>
                  <w:rStyle w:val="ListLabel37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 w:tgtFrame="mailto:us@54.mchs.gov.ru">
              <w:r>
                <w:rPr>
                  <w:rStyle w:val="ListLabel37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37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37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 w:tgtFrame="mailto:yarcevdv@54.mchs.gov.ru">
              <w:r>
                <w:rPr>
                  <w:rStyle w:val="ListLabel37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color w:val="000000"/>
                <w:sz w:val="24"/>
                <w:szCs w:val="24"/>
              </w:rPr>
              <w:t>.54.</w:t>
            </w:r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 w:tgtFrame="mailto:bpsp-mchs@mail.ru"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38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38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38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 w:tgtFrame="mailto:centrgimsnso2011@mail.ru"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 w:tgtFrame="mailto:sinoptic@meteo-nso.ru"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38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38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38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 w:tgtFrame="mailto:somc.gohcs@mail.ru">
              <w:r>
                <w:rPr>
                  <w:rStyle w:val="ListLabel37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 w:tgtFrame="mailto:sibcmkodo@ngs.ru">
              <w:r>
                <w:rPr>
                  <w:rStyle w:val="ListLabel37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 w:tgtFrame="mailto:pnl@nso.ru">
              <w:r>
                <w:rPr>
                  <w:rStyle w:val="ListLabel37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 w:tgtFrame="mailto:dlh@nso.ru">
              <w:r>
                <w:rPr>
                  <w:rStyle w:val="ListLabel37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 w:tgtFrame="mailto:grma@nso.ru">
              <w:r>
                <w:rPr>
                  <w:rStyle w:val="ListLabel37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 w:tgtFrame="mailto:ksve@nso.ru">
              <w:r>
                <w:rPr>
                  <w:rStyle w:val="ListLabel37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 w:tgtFrame="mailto:gitvladimir@yandex.ru">
              <w:r>
                <w:rPr>
                  <w:rStyle w:val="ListLabel37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37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 w:tgtFrame="mailto:odiar@54.fsin.gov.ru">
              <w:r>
                <w:rPr>
                  <w:rStyle w:val="ListLabel37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 w:tgtFrame="mailto:scgkhl@nso.ru">
              <w:r>
                <w:rPr>
                  <w:rStyle w:val="ListLabel37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 w:tgtFrame="mailto:rsockanc54@rkn.gov.ru">
              <w:r>
                <w:rPr>
                  <w:rStyle w:val="ListLabel37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 w:tgtFrame="mailto:Upravlenie@54.rospotrebnadzor.ru">
              <w:r>
                <w:rPr>
                  <w:rStyle w:val="ListLabel37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37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 w:tgtFrame="mailto:nsk@zsib.gosnadzor.ru"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38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38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38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gidrogeo@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 w:tgtFrame="mailto:op_nges@rushydro.ru novges@rushydro.ru">
              <w:r>
                <w:rPr>
                  <w:rStyle w:val="ListLabel37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 w:tgtFrame="mailto:ds_sfo3052@sib.rsnet.ru">
              <w:r>
                <w:rPr>
                  <w:rStyle w:val="ListLabel37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 w:tgtFrame="mailto:riac@atlas-nsk.ru">
              <w:r>
                <w:rPr>
                  <w:rStyle w:val="ListLabel37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 w:tgtFrame="mailto:odp-nvk@rosgranstroy.ru">
              <w:r>
                <w:rPr>
                  <w:rStyle w:val="ListLabel37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1135"/>
      <w:pgNumType w:fmt="decimal"/>
      <w:formProt w:val="false"/>
      <w:titlePg/>
      <w:textDirection w:val="lrTb"/>
      <w:docGrid w:type="default" w:linePitch="360" w:charSpace="36044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Times New Roman">
    <w:charset w:val="cc"/>
    <w:family w:val="auto"/>
    <w:pitch w:val="default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12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4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4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uiPriority w:val="99"/>
    <w:unhideWhenUsed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uiPriority w:val="99"/>
    <w:semiHidden/>
    <w:unhideWhenUsed/>
    <w:qFormat/>
    <w:rPr>
      <w:vertAlign w:val="superscript"/>
    </w:rPr>
  </w:style>
  <w:style w:type="character" w:styleId="InternetLink">
    <w:name w:val="Internet Link"/>
    <w:qFormat/>
    <w:rPr>
      <w:color w:val="0000FF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4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1" w:customStyle="1">
    <w:name w:val="Основной шрифт абзаца51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210" w:customStyle="1">
    <w:name w:val="Основной шрифт абзаца2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110" w:customStyle="1">
    <w:name w:val="Неразрешенное упоминание1"/>
    <w:qFormat/>
    <w:rPr>
      <w:color w:val="605E5C"/>
      <w:shd w:fill="E1DFDD" w:val="clear"/>
    </w:rPr>
  </w:style>
  <w:style w:type="character" w:styleId="410" w:customStyle="1">
    <w:name w:val="Стиль4 Знак"/>
    <w:qFormat/>
    <w:rPr>
      <w:color w:val="0000FF"/>
      <w:sz w:val="24"/>
      <w:szCs w:val="24"/>
    </w:rPr>
  </w:style>
  <w:style w:type="character" w:styleId="211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2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1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3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next w:val="Index1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left="1984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9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left="1134"/>
    </w:pPr>
    <w:rPr/>
  </w:style>
  <w:style w:type="paragraph" w:styleId="BodyTextIndented">
    <w:name w:val="Body Text, Indented"/>
    <w:basedOn w:val="Normal"/>
    <w:qFormat/>
    <w:pPr>
      <w:ind w:firstLine="709" w:left="851"/>
      <w:jc w:val="both"/>
    </w:pPr>
    <w:rPr>
      <w:sz w:val="28"/>
    </w:rPr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214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1" w:customStyle="1">
    <w:name w:val="Заголовок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14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115" w:customStyle="1">
    <w:name w:val="Название объекта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116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7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5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6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7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8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9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0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3" w:customStyle="1">
    <w:name w:val="Название объекта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14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3" w:customStyle="1">
    <w:name w:val="Заголовок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14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0" w:customStyle="1">
    <w:name w:val="Указатель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8" w:customStyle="1">
    <w:name w:val="Заголовок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9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/>
    </w:pPr>
    <w:rPr>
      <w:sz w:val="16"/>
    </w:rPr>
  </w:style>
  <w:style w:type="paragraph" w:styleId="2110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1" w:customStyle="1">
    <w:name w:val="Основной текст 211"/>
    <w:basedOn w:val="Normal"/>
    <w:qFormat/>
    <w:pPr>
      <w:jc w:val="both"/>
    </w:pPr>
    <w:rPr>
      <w:sz w:val="28"/>
    </w:rPr>
  </w:style>
  <w:style w:type="paragraph" w:styleId="2112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5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Style20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416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3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Times New Roman" w:cs="Calibri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6"/>
    <w:qFormat/>
    <w:rsid w:val="00366001"/>
    <w:pPr>
      <w:suppressLineNumbers/>
      <w:spacing w:lineRule="atLeast" w:line="200"/>
    </w:pPr>
    <w:rPr>
      <w:rFonts w:ascii="Noto Sans Devanagari" w:hAnsi="Noto Sans Devanagari" w:eastAsia="Noto Sans Devanagari" w:cs="Noto Sans Devanagari"/>
      <w:kern w:val="2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rsid w:val="00710d92"/>
    <w:pPr>
      <w:suppressLineNumbers/>
      <w:spacing w:lineRule="atLeast" w:line="200"/>
    </w:pPr>
    <w:rPr>
      <w:rFonts w:ascii="Noto Sans Devanagari" w:hAnsi="Noto Sans Devanagari" w:eastAsia="Noto Sans Devanagari" w:cs="Noto Sans Devanagari"/>
      <w:kern w:val="2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744f9f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4a14d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numbering" w:styleId="Style2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0C52-B3DC-48A7-8F2E-F2D448A4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41110</TotalTime>
  <Application>LibreOffice/24.8.0.3$Windows_X86_64 LibreOffice_project/0bdf1299c94fe897b119f97f3c613e9dca6be583</Application>
  <AppVersion>15.0000</AppVersion>
  <Pages>18</Pages>
  <Words>3845</Words>
  <Characters>29516</Characters>
  <CharactersWithSpaces>32855</CharactersWithSpaces>
  <Paragraphs>611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2024-03-11T22:54:00Z</dcterms:created>
  <dc:creator>Gpn_gor3</dc:creator>
  <dc:description/>
  <dc:language>ru-RU</dc:language>
  <cp:lastModifiedBy/>
  <dcterms:modified xsi:type="dcterms:W3CDTF">2024-10-11T15:39:40Z</dcterms:modified>
  <cp:revision>885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