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8D30" w14:textId="77777777" w:rsidR="00C45A6E" w:rsidRDefault="00C45A6E">
      <w:pPr>
        <w:jc w:val="both"/>
        <w:rPr>
          <w:color w:val="000000"/>
          <w:sz w:val="28"/>
          <w:szCs w:val="28"/>
        </w:rPr>
      </w:pPr>
    </w:p>
    <w:p w14:paraId="2B3B5B95" w14:textId="77777777" w:rsidR="00C45A6E" w:rsidRDefault="00BF776E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1F35213F" w14:textId="77777777" w:rsidR="00C45A6E" w:rsidRDefault="00BF776E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17.04.2024 г.</w:t>
      </w:r>
    </w:p>
    <w:p w14:paraId="5449379E" w14:textId="77777777" w:rsidR="00C45A6E" w:rsidRDefault="00BF776E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7E7780D" w14:textId="77777777" w:rsidR="00C45A6E" w:rsidRDefault="00BF776E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5F5416C" w14:textId="77777777" w:rsidR="00C45A6E" w:rsidRDefault="00BF776E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CDB96A3" w14:textId="77777777" w:rsidR="00C45A6E" w:rsidRDefault="00C45A6E">
      <w:pPr>
        <w:outlineLvl w:val="0"/>
        <w:rPr>
          <w:color w:val="000000"/>
          <w:sz w:val="28"/>
          <w:szCs w:val="28"/>
        </w:rPr>
      </w:pPr>
    </w:p>
    <w:p w14:paraId="1F2ED338" w14:textId="77777777" w:rsidR="00C45A6E" w:rsidRDefault="00BF776E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Опасные </w:t>
      </w:r>
      <w:r>
        <w:rPr>
          <w:b/>
          <w:color w:val="000000"/>
          <w:sz w:val="28"/>
          <w:szCs w:val="28"/>
          <w:shd w:val="clear" w:color="auto" w:fill="FFFFFF"/>
        </w:rPr>
        <w:t>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45A6E" w14:paraId="7DEB3B31" w14:textId="77777777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269C35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E76C834" w14:textId="77777777" w:rsidR="00C45A6E" w:rsidRDefault="00BF776E">
            <w:pPr>
              <w:widowControl w:val="0"/>
              <w:ind w:firstLine="215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14:paraId="444AD1DE" w14:textId="77777777" w:rsidR="00C45A6E" w:rsidRDefault="00C45A6E">
      <w:pPr>
        <w:jc w:val="both"/>
        <w:rPr>
          <w:color w:val="000000"/>
          <w:sz w:val="22"/>
          <w:szCs w:val="22"/>
          <w:highlight w:val="yellow"/>
        </w:rPr>
      </w:pPr>
    </w:p>
    <w:p w14:paraId="05621049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E1783CF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14:paraId="07285406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Днем и ночью отмечались небольшие, местами умеренные дожди </w:t>
      </w:r>
      <w:r>
        <w:rPr>
          <w:color w:val="000000"/>
          <w:sz w:val="28"/>
          <w:szCs w:val="28"/>
        </w:rPr>
        <w:t>интенсивностью до 0,1-6 мм в отдельных районах небольшой снег интенсивностью до 0,3 мм. Ветер усиливался днем до 18 м/с, ночью до 10 м/с. Температура воздуха составила днем +2, +8°С, по востоку до +14°С, ночью 0,</w:t>
      </w:r>
      <w:r>
        <w:rPr>
          <w:color w:val="000000"/>
          <w:sz w:val="28"/>
          <w:szCs w:val="28"/>
        </w:rPr>
        <w:br/>
        <w:t>-5°С, по северо-западу до -12°С. Днем видим</w:t>
      </w:r>
      <w:r>
        <w:rPr>
          <w:color w:val="000000"/>
          <w:sz w:val="28"/>
          <w:szCs w:val="28"/>
        </w:rPr>
        <w:t>ость в осадках, дымках ухудшалась до 1-2 км, в туманах 200-500 м, в Северном отмечалось отложение мокрого снега диаметром до 3 мм. Ночью видимость в дымках ухудшалась до 2 км, в Венгерово отмечалась изморозь диаметром 3 мм.</w:t>
      </w:r>
    </w:p>
    <w:p w14:paraId="312C2A05" w14:textId="77777777" w:rsidR="00C45A6E" w:rsidRDefault="00C45A6E">
      <w:pPr>
        <w:tabs>
          <w:tab w:val="left" w:pos="1690"/>
        </w:tabs>
        <w:ind w:firstLine="567"/>
        <w:rPr>
          <w:color w:val="000000"/>
          <w:sz w:val="28"/>
          <w:szCs w:val="28"/>
          <w:highlight w:val="yellow"/>
        </w:rPr>
      </w:pPr>
    </w:p>
    <w:p w14:paraId="0654D25E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1.2. Экологическая обстановка.</w:t>
      </w:r>
    </w:p>
    <w:p w14:paraId="7F171DB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Службы МОС в г. Новосибирск 15-16 апреля зафиксирована пыль до 2,0 ПДК (</w:t>
      </w:r>
      <w:proofErr w:type="spellStart"/>
      <w:r>
        <w:rPr>
          <w:color w:val="000000"/>
          <w:sz w:val="28"/>
          <w:szCs w:val="28"/>
        </w:rPr>
        <w:t>Заельцовский</w:t>
      </w:r>
      <w:proofErr w:type="spellEnd"/>
      <w:r>
        <w:rPr>
          <w:color w:val="000000"/>
          <w:sz w:val="28"/>
          <w:szCs w:val="28"/>
        </w:rPr>
        <w:t xml:space="preserve"> район).</w:t>
      </w:r>
    </w:p>
    <w:p w14:paraId="34DCC157" w14:textId="77777777" w:rsidR="00C45A6E" w:rsidRDefault="00C45A6E">
      <w:pPr>
        <w:ind w:firstLine="567"/>
        <w:jc w:val="both"/>
        <w:rPr>
          <w:color w:val="000000"/>
          <w:sz w:val="28"/>
          <w:szCs w:val="28"/>
        </w:rPr>
      </w:pPr>
    </w:p>
    <w:p w14:paraId="13F1ECD1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14:paraId="4316C8F8" w14:textId="77777777" w:rsidR="00C45A6E" w:rsidRDefault="00BF776E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14:paraId="5C28B107" w14:textId="77777777" w:rsidR="00C45A6E" w:rsidRDefault="00C45A6E">
      <w:pPr>
        <w:tabs>
          <w:tab w:val="left" w:pos="1690"/>
        </w:tabs>
        <w:ind w:firstLine="567"/>
        <w:jc w:val="both"/>
        <w:rPr>
          <w:color w:val="000000"/>
        </w:rPr>
      </w:pPr>
    </w:p>
    <w:p w14:paraId="201C38B4" w14:textId="77777777" w:rsidR="00C45A6E" w:rsidRDefault="00BF776E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14:paraId="75B81F17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реках области продолжается процесс разрушения ледяного покрова (закр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аины, подвижка льда, ледостав с промоинами, разводья, ледоход). На реках Бердь, Майзас, Омь (в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Чумаково и Куйбышев) продолжается процесс ледохода. На реках Карасук, Иня ледоход завершился.</w:t>
      </w:r>
    </w:p>
    <w:p w14:paraId="338D9D0F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Уровень воды на реках области в течение суток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изменялся от -18 см (р. Бердь,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Маслянино) до +102 см (р. Бакса,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 Пихтовка).</w:t>
      </w:r>
    </w:p>
    <w:p w14:paraId="5ACF0AE9" w14:textId="77777777" w:rsidR="00C45A6E" w:rsidRDefault="00BF776E">
      <w:pPr>
        <w:tabs>
          <w:tab w:val="left" w:pos="4001"/>
          <w:tab w:val="center" w:pos="4819"/>
        </w:tabs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Наблюдается снижение уровня воды на реке Бердь в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р.п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Маслянино)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Маслянинском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районе.</w:t>
      </w:r>
    </w:p>
    <w:p w14:paraId="53E26AE7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Функционирование ГЭС</w:t>
      </w:r>
    </w:p>
    <w:p w14:paraId="302C0D17" w14:textId="77777777" w:rsidR="00C45A6E" w:rsidRDefault="00BF776E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Сброс воды с Новосибирской ГЭС осуществляется в </w:t>
      </w:r>
      <w:r>
        <w:rPr>
          <w:bCs/>
          <w:color w:val="000000"/>
          <w:sz w:val="28"/>
          <w:szCs w:val="28"/>
        </w:rPr>
        <w:t xml:space="preserve">соответствии с графиком пропуска весеннего половодья 2024 года. Средний уровень воды в Новосибирском водохранилище составил 108,59 м БС (Балтийской системы </w:t>
      </w:r>
      <w:r>
        <w:rPr>
          <w:bCs/>
          <w:color w:val="000000"/>
          <w:sz w:val="28"/>
          <w:szCs w:val="28"/>
        </w:rPr>
        <w:lastRenderedPageBreak/>
        <w:t>измерений), сброс составил 2760 м³/с, приток 3760 м³/с. Уровень воды в реке Обь находится на отметке</w:t>
      </w:r>
      <w:r>
        <w:rPr>
          <w:bCs/>
          <w:color w:val="000000"/>
          <w:sz w:val="28"/>
          <w:szCs w:val="28"/>
        </w:rPr>
        <w:t xml:space="preserve"> 26 см.</w:t>
      </w:r>
    </w:p>
    <w:p w14:paraId="24FEF7C9" w14:textId="77777777" w:rsidR="00C45A6E" w:rsidRDefault="00C45A6E">
      <w:pPr>
        <w:ind w:firstLine="567"/>
        <w:jc w:val="both"/>
        <w:rPr>
          <w:color w:val="000000"/>
          <w:highlight w:val="yellow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6"/>
        <w:gridCol w:w="1835"/>
        <w:gridCol w:w="1133"/>
        <w:gridCol w:w="1560"/>
        <w:gridCol w:w="1559"/>
        <w:gridCol w:w="2268"/>
      </w:tblGrid>
      <w:tr w:rsidR="00C45A6E" w14:paraId="7FCB8CB9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97F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80B3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14:paraId="1D115149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1378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14:paraId="7FBFB40A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14:paraId="786ACE7A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1F6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Уровень воды (см) на 08.00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нск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16.04.2024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AE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343F48A5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B08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C45A6E" w14:paraId="7D833A6F" w14:textId="77777777">
        <w:trPr>
          <w:trHeight w:val="21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994E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282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C380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E316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97D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1B7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Лёд потемнел</w:t>
            </w:r>
          </w:p>
        </w:tc>
      </w:tr>
      <w:tr w:rsidR="00C45A6E" w14:paraId="06EAA00C" w14:textId="77777777">
        <w:trPr>
          <w:trHeight w:val="2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B65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6DB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C31F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28FF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82F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571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45A6E" w14:paraId="0C8ADBAD" w14:textId="77777777">
        <w:trPr>
          <w:trHeight w:val="2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9BC9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6D66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Дубровино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B3CD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9FD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787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F93F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C45A6E" w14:paraId="3A9F922F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4401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B121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25DE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7843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682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44EA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C45A6E" w14:paraId="0B36E414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F25D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92B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EB93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1F7F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34B7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0169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C45A6E" w14:paraId="3CF640AB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78F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107E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822D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A801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F5E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2F95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45A6E" w14:paraId="5FF1560E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BC48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0008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FFA3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C3B1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2EF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DFD9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5A6E" w14:paraId="25639170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493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1BDE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F488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D9ED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2EBE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FA19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45A6E" w14:paraId="68346D1F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2F01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37D7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2452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493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6EE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B69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Навалы льда на </w:t>
            </w:r>
            <w:r>
              <w:rPr>
                <w:color w:val="000000"/>
                <w:sz w:val="24"/>
                <w:szCs w:val="24"/>
                <w:lang w:eastAsia="ar-SA"/>
              </w:rPr>
              <w:t>берегах</w:t>
            </w:r>
          </w:p>
        </w:tc>
      </w:tr>
      <w:tr w:rsidR="00C45A6E" w14:paraId="7DA6CEFC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1E05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84E6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58A7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C420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E813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02B0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C45A6E" w14:paraId="0A620512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8A78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DDD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1B3A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4F6B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BA6D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97F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C45A6E" w14:paraId="7CFEC43B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4566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4D4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1E2C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556D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0F76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C0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C45A6E" w14:paraId="5DCBBC2A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FB27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DA6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E6C8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4B1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9ECB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C6D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C45A6E" w14:paraId="7C048075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73B8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393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48C0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D00F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8EEB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7B1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Забереги остаточные</w:t>
            </w:r>
          </w:p>
        </w:tc>
      </w:tr>
      <w:tr w:rsidR="00C45A6E" w14:paraId="52D7305B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12A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283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0771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7A1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219F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30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Разводья. Подвижка льда</w:t>
            </w:r>
          </w:p>
        </w:tc>
      </w:tr>
      <w:tr w:rsidR="00C45A6E" w14:paraId="6BA23CF5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E63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30BD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8B31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AA0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60A2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EB42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Ледостав с промоинами</w:t>
            </w:r>
          </w:p>
        </w:tc>
      </w:tr>
      <w:tr w:rsidR="00C45A6E" w14:paraId="284C1478" w14:textId="77777777">
        <w:trPr>
          <w:trHeight w:val="24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781E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ED2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5A8B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3F84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8D90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24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C45A6E" w14:paraId="11AF276C" w14:textId="77777777">
        <w:trPr>
          <w:trHeight w:val="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134B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D39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8CFE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C225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BF10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967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Шугоход</w:t>
            </w:r>
            <w:proofErr w:type="spellEnd"/>
          </w:p>
        </w:tc>
      </w:tr>
      <w:tr w:rsidR="00C45A6E" w14:paraId="3479A668" w14:textId="77777777">
        <w:trPr>
          <w:trHeight w:val="5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20D2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CFD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28E4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93DC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4161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F3A3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Забереги</w:t>
            </w:r>
          </w:p>
        </w:tc>
      </w:tr>
      <w:tr w:rsidR="00C45A6E" w14:paraId="3AA5AE90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B6BA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DA56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C3C6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550D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B08F" w14:textId="77777777" w:rsidR="00C45A6E" w:rsidRDefault="00BF776E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39D0" w14:textId="77777777" w:rsidR="00C45A6E" w:rsidRDefault="00BF77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14:paraId="0126A787" w14:textId="77777777" w:rsidR="00C45A6E" w:rsidRDefault="00C45A6E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bookmarkStart w:id="0" w:name="_Hlk130909852"/>
      <w:bookmarkEnd w:id="0"/>
    </w:p>
    <w:p w14:paraId="42F59805" w14:textId="77777777" w:rsidR="00C45A6E" w:rsidRDefault="00BF776E">
      <w:pPr>
        <w:tabs>
          <w:tab w:val="center" w:pos="4819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 состоянию на 08:00 16 апреля в 4-х населенных пунктах Карасукского, Тогучинского и Сузунского районов </w:t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н.п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i/>
          <w:iCs/>
          <w:color w:val="000000"/>
          <w:sz w:val="28"/>
          <w:szCs w:val="28"/>
        </w:rPr>
        <w:t>Чернокурья</w:t>
      </w:r>
      <w:proofErr w:type="spellEnd"/>
      <w:r>
        <w:rPr>
          <w:i/>
          <w:iCs/>
          <w:color w:val="000000"/>
          <w:sz w:val="28"/>
          <w:szCs w:val="28"/>
        </w:rPr>
        <w:t xml:space="preserve">, п. Ягодный, г. Тогучин, </w:t>
      </w:r>
      <w:proofErr w:type="spellStart"/>
      <w:r>
        <w:rPr>
          <w:i/>
          <w:iCs/>
          <w:color w:val="000000"/>
          <w:sz w:val="28"/>
          <w:szCs w:val="28"/>
        </w:rPr>
        <w:t>н.п</w:t>
      </w:r>
      <w:proofErr w:type="spellEnd"/>
      <w:r>
        <w:rPr>
          <w:i/>
          <w:iCs/>
          <w:color w:val="000000"/>
          <w:sz w:val="28"/>
          <w:szCs w:val="28"/>
        </w:rPr>
        <w:t xml:space="preserve">. Мереть) </w:t>
      </w:r>
      <w:r>
        <w:rPr>
          <w:color w:val="000000"/>
          <w:sz w:val="28"/>
          <w:szCs w:val="28"/>
        </w:rPr>
        <w:t xml:space="preserve">подтопленных жилых домов нет, подтоплено 35 приусадебных участков </w:t>
      </w:r>
      <w:r>
        <w:rPr>
          <w:i/>
          <w:iCs/>
          <w:color w:val="000000"/>
          <w:sz w:val="28"/>
          <w:szCs w:val="28"/>
        </w:rPr>
        <w:t xml:space="preserve">(за сутки подтоплен 1 участок </w:t>
      </w:r>
      <w:r>
        <w:rPr>
          <w:i/>
          <w:iCs/>
          <w:color w:val="000000"/>
          <w:sz w:val="28"/>
          <w:szCs w:val="28"/>
        </w:rPr>
        <w:t xml:space="preserve">в п. Ягодный), </w:t>
      </w:r>
      <w:r>
        <w:rPr>
          <w:color w:val="000000"/>
          <w:sz w:val="28"/>
          <w:szCs w:val="28"/>
        </w:rPr>
        <w:t xml:space="preserve">в 2 СНТ подтоплены 90 дачных участков </w:t>
      </w:r>
      <w:r>
        <w:rPr>
          <w:i/>
          <w:iCs/>
          <w:color w:val="000000"/>
          <w:sz w:val="28"/>
          <w:szCs w:val="28"/>
        </w:rPr>
        <w:t xml:space="preserve">(за сутки подтопленных участков нет, освободилось от воды 40 дачных участков: в Новосибирском районе -30 участков в СНТ «Солнечная долина» и -10 участков в СНТ «Рябинка»). </w:t>
      </w:r>
      <w:r>
        <w:rPr>
          <w:color w:val="000000"/>
          <w:sz w:val="28"/>
          <w:szCs w:val="28"/>
        </w:rPr>
        <w:t>Проводится работа по оказанию а</w:t>
      </w:r>
      <w:r>
        <w:rPr>
          <w:color w:val="000000"/>
          <w:sz w:val="28"/>
          <w:szCs w:val="28"/>
        </w:rPr>
        <w:t>дресной помощи населению, ведется мониторинг складывающейся обстановки.</w:t>
      </w:r>
    </w:p>
    <w:p w14:paraId="62D5D793" w14:textId="77777777" w:rsidR="00C45A6E" w:rsidRDefault="00C45A6E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9510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505"/>
        <w:gridCol w:w="1618"/>
        <w:gridCol w:w="2534"/>
        <w:gridCol w:w="1926"/>
        <w:gridCol w:w="2927"/>
      </w:tblGrid>
      <w:tr w:rsidR="00C45A6E" w14:paraId="19DA4A8B" w14:textId="77777777">
        <w:trPr>
          <w:trHeight w:val="7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0CF3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AB5C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9D2B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7608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Причина подтопления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CA9A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Принимаемые меры</w:t>
            </w:r>
          </w:p>
        </w:tc>
      </w:tr>
      <w:tr w:rsidR="00C45A6E" w14:paraId="66AE7746" w14:textId="77777777">
        <w:trPr>
          <w:trHeight w:val="77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6CBE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259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Карасукский район,</w:t>
            </w:r>
          </w:p>
          <w:p w14:paraId="2D92E455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Чернокурья</w:t>
            </w:r>
            <w:proofErr w:type="spellEnd"/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6CF6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приусадебный участок - 21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22A3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Карасук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9811" w14:textId="77777777" w:rsidR="00C45A6E" w:rsidRDefault="00BF776E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C45A6E" w14:paraId="7D3DD95A" w14:textId="77777777">
        <w:trPr>
          <w:trHeight w:val="77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B3FC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rFonts w:eastAsia="DejaVu Sans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B88B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Карасукский район,</w:t>
            </w:r>
          </w:p>
          <w:p w14:paraId="073778DA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п. Ягодный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FA31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приусадебных участков - 1</w:t>
            </w:r>
          </w:p>
          <w:p w14:paraId="5D421014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(+1 </w:t>
            </w:r>
            <w:r>
              <w:rPr>
                <w:color w:val="000000"/>
                <w:sz w:val="18"/>
                <w:szCs w:val="18"/>
              </w:rPr>
              <w:t>участок)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A6DB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Карасук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065C" w14:textId="77777777" w:rsidR="00C45A6E" w:rsidRDefault="00BF776E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C45A6E" w14:paraId="75215A08" w14:textId="77777777">
        <w:trPr>
          <w:trHeight w:val="97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3B0B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FDD2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Новосибирский район,</w:t>
            </w:r>
          </w:p>
          <w:p w14:paraId="164F3F8D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СНТ «Рябинка»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CB07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дачных участков - 60</w:t>
            </w:r>
          </w:p>
          <w:p w14:paraId="058ABE56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(-10 участков)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A735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Подъем уровня </w:t>
            </w:r>
            <w:r>
              <w:rPr>
                <w:color w:val="000000"/>
                <w:sz w:val="18"/>
                <w:szCs w:val="18"/>
              </w:rPr>
              <w:t>грунтовых вод и уровня воды в искусственном водоеме на территории СНТ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7E69" w14:textId="77777777" w:rsidR="00C45A6E" w:rsidRDefault="00BF776E">
            <w:pPr>
              <w:pStyle w:val="af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Низменный участок местности, уровень воды снижается. Ведется мониторинг обстановки.</w:t>
            </w:r>
          </w:p>
        </w:tc>
      </w:tr>
      <w:tr w:rsidR="00C45A6E" w14:paraId="461B375E" w14:textId="77777777">
        <w:trPr>
          <w:trHeight w:val="77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E795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1093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Новосибирский район,</w:t>
            </w:r>
          </w:p>
          <w:p w14:paraId="7AA4C23F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СНТ «Солнечная долина»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EBD7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дачных участков - 30</w:t>
            </w:r>
          </w:p>
          <w:p w14:paraId="73B061CE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(-30 участков)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1FB6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Талые воды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56F7" w14:textId="77777777" w:rsidR="00C45A6E" w:rsidRDefault="00BF776E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й участок местности, проводится работа по перекачке и водоотведению при помощи мотопомп. Ведется мониторинг обстановки.</w:t>
            </w:r>
          </w:p>
        </w:tc>
      </w:tr>
      <w:tr w:rsidR="00C45A6E" w14:paraId="76BD523C" w14:textId="77777777">
        <w:trPr>
          <w:trHeight w:val="388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F1BC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71F2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Сузунский район</w:t>
            </w:r>
          </w:p>
          <w:p w14:paraId="3B2D10AE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>. Мереть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ACCA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приусадебных участков - 9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A975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воды в</w:t>
            </w:r>
          </w:p>
          <w:p w14:paraId="14CBD2CF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р. Кукуй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18DA" w14:textId="77777777" w:rsidR="00C45A6E" w:rsidRDefault="00BF776E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Из мешков с песком сооружена дамба. Ведется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мониторинг обстановки.</w:t>
            </w:r>
          </w:p>
        </w:tc>
      </w:tr>
      <w:tr w:rsidR="00C45A6E" w14:paraId="5C025BF4" w14:textId="77777777">
        <w:trPr>
          <w:trHeight w:val="9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CF57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2D12" w14:textId="77777777" w:rsidR="00C45A6E" w:rsidRDefault="00BF776E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Сузунский район</w:t>
            </w:r>
          </w:p>
          <w:p w14:paraId="5F58FE07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Кротово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415C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низководный мост - 1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5911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воды в</w:t>
            </w:r>
          </w:p>
          <w:p w14:paraId="7E23915A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р. Мереть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2208" w14:textId="77777777" w:rsidR="00C45A6E" w:rsidRDefault="00BF776E">
            <w:pPr>
              <w:pStyle w:val="af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Пожарная безопасность обеспечена ОП ПЧ-103 в </w:t>
            </w: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Мереть (расстояние 6 км). Местными жителями организована лодочная переправа. Создан запас </w:t>
            </w:r>
            <w:r>
              <w:rPr>
                <w:color w:val="000000"/>
                <w:sz w:val="18"/>
                <w:szCs w:val="18"/>
              </w:rPr>
              <w:t>продовольствия.</w:t>
            </w:r>
          </w:p>
        </w:tc>
      </w:tr>
      <w:tr w:rsidR="00C45A6E" w14:paraId="776447A8" w14:textId="77777777">
        <w:trPr>
          <w:trHeight w:val="7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91AE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B96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Болотнинский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</w:t>
            </w:r>
          </w:p>
          <w:p w14:paraId="4AFE5822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Новобибеево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н.п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Старобибеево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E480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низководный мост - 1</w:t>
            </w:r>
          </w:p>
          <w:p w14:paraId="6A55B54D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(+</w:t>
            </w:r>
            <w:proofErr w:type="gramStart"/>
            <w:r>
              <w:rPr>
                <w:color w:val="000000"/>
                <w:sz w:val="18"/>
                <w:szCs w:val="18"/>
              </w:rPr>
              <w:t>1  мост</w:t>
            </w:r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2AA7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Ояш.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725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Движение по мосту возможно, ведется мониторинг обстановки.</w:t>
            </w:r>
          </w:p>
        </w:tc>
      </w:tr>
      <w:tr w:rsidR="00C45A6E" w14:paraId="3FCA1E35" w14:textId="77777777">
        <w:trPr>
          <w:trHeight w:val="7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E37A" w14:textId="77777777" w:rsidR="00C45A6E" w:rsidRDefault="00BF776E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AB71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г. Тогучин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EC03" w14:textId="77777777" w:rsidR="00C45A6E" w:rsidRDefault="00BF776E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приусадебных участков - 4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0063" w14:textId="77777777" w:rsidR="00C45A6E" w:rsidRDefault="00BF776E">
            <w:pPr>
              <w:pStyle w:val="af7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Подъем уровня </w:t>
            </w:r>
            <w:r>
              <w:rPr>
                <w:color w:val="000000"/>
                <w:sz w:val="18"/>
                <w:szCs w:val="18"/>
              </w:rPr>
              <w:t>воды в р. Иня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B2E0" w14:textId="77777777" w:rsidR="00C45A6E" w:rsidRDefault="00BF776E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</w:tbl>
    <w:p w14:paraId="47F5A122" w14:textId="77777777" w:rsidR="00C45A6E" w:rsidRDefault="00C45A6E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</w:p>
    <w:p w14:paraId="353372F0" w14:textId="77777777" w:rsidR="00C45A6E" w:rsidRDefault="00BF776E">
      <w:pPr>
        <w:pStyle w:val="1f6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1.5. </w:t>
      </w:r>
      <w:proofErr w:type="spellStart"/>
      <w:r>
        <w:rPr>
          <w:b/>
          <w:color w:val="000000"/>
          <w:sz w:val="28"/>
          <w:szCs w:val="28"/>
        </w:rPr>
        <w:t>Лесопожарная</w:t>
      </w:r>
      <w:proofErr w:type="spellEnd"/>
      <w:r>
        <w:rPr>
          <w:b/>
          <w:color w:val="000000"/>
          <w:sz w:val="28"/>
          <w:szCs w:val="28"/>
        </w:rPr>
        <w:t xml:space="preserve"> обстановка.</w:t>
      </w:r>
    </w:p>
    <w:p w14:paraId="11CD360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космического мониторинга за сутки на территории Новосибирской области зафиксировано в</w:t>
      </w:r>
      <w:r>
        <w:rPr>
          <w:color w:val="000000"/>
          <w:sz w:val="28"/>
          <w:szCs w:val="28"/>
        </w:rPr>
        <w:t xml:space="preserve">осемь термических точек. В </w:t>
      </w:r>
      <w:proofErr w:type="gramStart"/>
      <w:r>
        <w:rPr>
          <w:color w:val="000000"/>
          <w:sz w:val="28"/>
          <w:szCs w:val="28"/>
        </w:rPr>
        <w:t>пяти километровой</w:t>
      </w:r>
      <w:proofErr w:type="gramEnd"/>
      <w:r>
        <w:rPr>
          <w:color w:val="000000"/>
          <w:sz w:val="28"/>
          <w:szCs w:val="28"/>
        </w:rPr>
        <w:t xml:space="preserve"> зоне 5 точек. Угрозы населённым пунктам нет.</w:t>
      </w:r>
    </w:p>
    <w:p w14:paraId="089DB5E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(с 15 апре</w:t>
      </w:r>
      <w:r>
        <w:rPr>
          <w:color w:val="000000"/>
          <w:sz w:val="28"/>
          <w:szCs w:val="28"/>
        </w:rPr>
        <w:t xml:space="preserve">ля по 13 мая) на территории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, Барабинского,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Искитимского</w:t>
      </w:r>
      <w:proofErr w:type="spellEnd"/>
      <w:r>
        <w:rPr>
          <w:color w:val="000000"/>
          <w:sz w:val="28"/>
          <w:szCs w:val="28"/>
        </w:rPr>
        <w:t xml:space="preserve">, Карасукского,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Коченёвского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, Краснозерского,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>, Новосибирского, Ордынского, Сузунского, Чистоозерного районов, в городах Бердск</w:t>
      </w:r>
      <w:r>
        <w:rPr>
          <w:color w:val="000000"/>
          <w:sz w:val="28"/>
          <w:szCs w:val="28"/>
        </w:rPr>
        <w:t>, Искитим, Новосибирск, Обь и рабочем поселке Кольцово Новосибирской области.</w:t>
      </w:r>
    </w:p>
    <w:p w14:paraId="255759B3" w14:textId="77777777" w:rsidR="00C45A6E" w:rsidRDefault="00C45A6E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14:paraId="2318DD27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0BE8F2B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14:paraId="02B33BC2" w14:textId="77777777" w:rsidR="00C45A6E" w:rsidRDefault="00C45A6E">
      <w:pPr>
        <w:ind w:firstLine="567"/>
        <w:jc w:val="both"/>
        <w:rPr>
          <w:color w:val="000000"/>
          <w:sz w:val="28"/>
          <w:szCs w:val="28"/>
        </w:rPr>
      </w:pPr>
    </w:p>
    <w:p w14:paraId="31083195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2262EC23" w14:textId="77777777" w:rsidR="00C45A6E" w:rsidRDefault="00BF776E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Стабильная.</w:t>
      </w:r>
    </w:p>
    <w:p w14:paraId="4809BE60" w14:textId="77777777" w:rsidR="00C45A6E" w:rsidRDefault="00C45A6E">
      <w:pPr>
        <w:ind w:firstLine="567"/>
        <w:jc w:val="both"/>
        <w:rPr>
          <w:b/>
          <w:color w:val="000000"/>
          <w:sz w:val="28"/>
          <w:szCs w:val="28"/>
        </w:rPr>
      </w:pPr>
    </w:p>
    <w:p w14:paraId="38D9438A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0200D6B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14:paraId="753A965A" w14:textId="77777777" w:rsidR="00C45A6E" w:rsidRDefault="00C45A6E">
      <w:pPr>
        <w:ind w:firstLine="567"/>
        <w:jc w:val="both"/>
        <w:rPr>
          <w:b/>
          <w:color w:val="000000"/>
          <w:sz w:val="28"/>
          <w:szCs w:val="28"/>
        </w:rPr>
      </w:pPr>
    </w:p>
    <w:p w14:paraId="63A6F368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1.9. Эпизоотическая </w:t>
      </w:r>
      <w:r>
        <w:rPr>
          <w:b/>
          <w:color w:val="000000"/>
          <w:sz w:val="28"/>
          <w:szCs w:val="28"/>
        </w:rPr>
        <w:t>обстановка.</w:t>
      </w:r>
    </w:p>
    <w:p w14:paraId="16D4BF2A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14:paraId="7AB674B0" w14:textId="77777777" w:rsidR="00C45A6E" w:rsidRDefault="00C45A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4A77A40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1.10. Пожарная обстановка.</w:t>
      </w:r>
    </w:p>
    <w:p w14:paraId="6809BBE5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10 пожаров (в жилом секторе 4), в результате которых погибших и травмированных нет. Причины пожаров, виновные лица и материальный ущерб устанавлив</w:t>
      </w:r>
      <w:r>
        <w:rPr>
          <w:color w:val="000000"/>
          <w:sz w:val="28"/>
          <w:szCs w:val="28"/>
        </w:rPr>
        <w:t>аются.</w:t>
      </w:r>
    </w:p>
    <w:p w14:paraId="587A2771" w14:textId="77777777" w:rsidR="00C45A6E" w:rsidRDefault="00C45A6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147FF6D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221EEF96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17DA120E" w14:textId="77777777" w:rsidR="00C45A6E" w:rsidRDefault="00C45A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23F35E48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4A74B6AA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</w:t>
      </w:r>
      <w:r>
        <w:rPr>
          <w:color w:val="000000"/>
          <w:sz w:val="28"/>
          <w:szCs w:val="28"/>
        </w:rPr>
        <w:t xml:space="preserve"> в течение суток и носят локальный характер.</w:t>
      </w:r>
    </w:p>
    <w:p w14:paraId="7A906EAC" w14:textId="77777777" w:rsidR="00C45A6E" w:rsidRDefault="00C45A6E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11F2B14D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14:paraId="26889158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603CA38D" w14:textId="77777777" w:rsidR="00C45A6E" w:rsidRDefault="00C45A6E">
      <w:pPr>
        <w:ind w:firstLine="567"/>
        <w:jc w:val="both"/>
        <w:rPr>
          <w:color w:val="000000"/>
        </w:rPr>
      </w:pPr>
    </w:p>
    <w:p w14:paraId="115B361C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1.14. Обстановка на дорогах.</w:t>
      </w:r>
    </w:p>
    <w:p w14:paraId="73379A7F" w14:textId="77777777" w:rsidR="00C45A6E" w:rsidRDefault="00BF776E">
      <w:pPr>
        <w:ind w:firstLine="567"/>
        <w:jc w:val="both"/>
        <w:rPr>
          <w:color w:val="000000"/>
        </w:rPr>
      </w:pPr>
      <w:bookmarkStart w:id="1" w:name="_Hlk133589652"/>
      <w:r>
        <w:rPr>
          <w:color w:val="000000"/>
          <w:sz w:val="28"/>
          <w:szCs w:val="28"/>
        </w:rPr>
        <w:t xml:space="preserve">На дорогах области за прошедшие сутки </w:t>
      </w:r>
      <w:r>
        <w:rPr>
          <w:color w:val="000000"/>
          <w:sz w:val="28"/>
          <w:szCs w:val="28"/>
        </w:rPr>
        <w:t>зарегистрировано 2 ДТП, в результате которых погибших нет, 2 человека травмировано.</w:t>
      </w:r>
    </w:p>
    <w:p w14:paraId="372F0188" w14:textId="77777777" w:rsidR="00C45A6E" w:rsidRDefault="00BF776E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 xml:space="preserve">На контроле остается 7 переливов через автомобильные дороги местного значения в 4 районах области (Карасукском, Сузунском, Краснозерском, </w:t>
      </w:r>
      <w:proofErr w:type="spellStart"/>
      <w:r>
        <w:rPr>
          <w:bCs/>
          <w:color w:val="000000"/>
          <w:sz w:val="28"/>
          <w:szCs w:val="28"/>
          <w:lang w:eastAsia="ru-RU"/>
        </w:rPr>
        <w:t>Чулымском</w:t>
      </w:r>
      <w:proofErr w:type="spellEnd"/>
      <w:r>
        <w:rPr>
          <w:bCs/>
          <w:color w:val="000000"/>
          <w:sz w:val="28"/>
          <w:szCs w:val="28"/>
          <w:lang w:eastAsia="ru-RU"/>
        </w:rPr>
        <w:t>). Глубина переливов сост</w:t>
      </w:r>
      <w:r>
        <w:rPr>
          <w:bCs/>
          <w:color w:val="000000"/>
          <w:sz w:val="28"/>
          <w:szCs w:val="28"/>
          <w:lang w:eastAsia="ru-RU"/>
        </w:rPr>
        <w:t>авляет от 3 до 20 см. Сотрудниками ДРСУ организован мониторинг, выставлены сигнальные вешки, проводится отсыпка дорожного полотна</w:t>
      </w:r>
      <w:r>
        <w:rPr>
          <w:color w:val="000000"/>
          <w:sz w:val="28"/>
          <w:szCs w:val="28"/>
          <w:lang w:eastAsia="ru-RU"/>
        </w:rPr>
        <w:t>.</w:t>
      </w:r>
    </w:p>
    <w:p w14:paraId="215AA0F0" w14:textId="77777777" w:rsidR="00C45A6E" w:rsidRDefault="00C45A6E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14:paraId="2CDCEB8F" w14:textId="77777777" w:rsidR="00C45A6E" w:rsidRDefault="00C45A6E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14:paraId="324594A8" w14:textId="77777777" w:rsidR="00C45A6E" w:rsidRDefault="00C45A6E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14:paraId="3264C45A" w14:textId="77777777" w:rsidR="00C45A6E" w:rsidRDefault="00C45A6E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14:paraId="5ECD89EF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E317C7B" w14:textId="77777777" w:rsidR="00C45A6E" w:rsidRDefault="00C45A6E">
      <w:pPr>
        <w:ind w:firstLine="567"/>
        <w:jc w:val="both"/>
        <w:rPr>
          <w:color w:val="000000"/>
        </w:rPr>
      </w:pPr>
    </w:p>
    <w:p w14:paraId="1B812851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2.1. Метеорологическая обстановка</w:t>
      </w:r>
      <w:bookmarkStart w:id="2" w:name="_Hlk100251273"/>
      <w:bookmarkStart w:id="3" w:name="_Hlk116826015"/>
      <w:bookmarkStart w:id="4" w:name="_Hlk112072656"/>
      <w:bookmarkStart w:id="5" w:name="_Hlk99801931"/>
      <w:bookmarkStart w:id="6" w:name="_Hlk101450800"/>
      <w:bookmarkStart w:id="7" w:name="_Hlk113283673"/>
      <w:r>
        <w:rPr>
          <w:b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44F476A7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Переменная облачность, ночью </w:t>
      </w:r>
      <w:r>
        <w:rPr>
          <w:color w:val="000000"/>
          <w:sz w:val="28"/>
          <w:szCs w:val="28"/>
          <w:lang w:eastAsia="ru-RU"/>
        </w:rPr>
        <w:t>преимущественно без осадков, днем небольшие, по востоку местами умеренные дожди, грозы.</w:t>
      </w:r>
    </w:p>
    <w:p w14:paraId="7178CC97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Ветер юго-восточный, ночью 2-7 м/с местами порывы до 13 м/с днем 7-12 м/с местами порывы до 17 м/с</w:t>
      </w:r>
    </w:p>
    <w:p w14:paraId="424DBA96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Температура воздуха ночью -2, -7°С, местами до +3°С. Днём +7, +12°С, </w:t>
      </w:r>
      <w:r>
        <w:rPr>
          <w:color w:val="000000"/>
          <w:sz w:val="28"/>
          <w:szCs w:val="28"/>
          <w:lang w:eastAsia="ru-RU"/>
        </w:rPr>
        <w:t>местами до +17°С.</w:t>
      </w:r>
    </w:p>
    <w:p w14:paraId="3AFBDE8A" w14:textId="77777777" w:rsidR="00C45A6E" w:rsidRDefault="00C45A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6B952A00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2.2. Прогноз экологической обстановки.</w:t>
      </w:r>
    </w:p>
    <w:p w14:paraId="547921FB" w14:textId="77777777" w:rsidR="00C45A6E" w:rsidRDefault="00BF776E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 В отдельных районах ожидается повышенное содержание пыли (взвешенны</w:t>
      </w:r>
      <w:r>
        <w:rPr>
          <w:bCs/>
          <w:color w:val="000000"/>
          <w:sz w:val="28"/>
          <w:szCs w:val="28"/>
        </w:rPr>
        <w:t>х веществ).</w:t>
      </w:r>
    </w:p>
    <w:p w14:paraId="46198E3F" w14:textId="77777777" w:rsidR="00C45A6E" w:rsidRDefault="00C45A6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D72EE96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  <w:highlight w:val="white"/>
        </w:rPr>
        <w:t>2.3. Прогноз гидрологической обстановки.</w:t>
      </w:r>
    </w:p>
    <w:p w14:paraId="1D37D952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В связи с повышением температуры воздуха до +12</w:t>
      </w:r>
      <w:r>
        <w:rPr>
          <w:color w:val="000000"/>
          <w:sz w:val="28"/>
          <w:szCs w:val="28"/>
          <w:lang w:eastAsia="ru-RU"/>
        </w:rPr>
        <w:t>°С</w:t>
      </w:r>
      <w:r>
        <w:rPr>
          <w:color w:val="000000"/>
          <w:sz w:val="28"/>
          <w:szCs w:val="28"/>
        </w:rPr>
        <w:t xml:space="preserve"> - +17</w:t>
      </w:r>
      <w:r>
        <w:rPr>
          <w:color w:val="000000"/>
          <w:sz w:val="28"/>
          <w:szCs w:val="28"/>
          <w:lang w:eastAsia="ru-RU"/>
        </w:rPr>
        <w:t>°С</w:t>
      </w:r>
      <w:r>
        <w:rPr>
          <w:color w:val="000000"/>
          <w:sz w:val="28"/>
          <w:szCs w:val="28"/>
        </w:rPr>
        <w:t>, выпавшими осадками на территории Новосибирской области прогнозируется:</w:t>
      </w:r>
    </w:p>
    <w:p w14:paraId="0298D6B1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Карасук Карасукского района наблюдается заключительная фаза паво</w:t>
      </w:r>
      <w:r>
        <w:rPr>
          <w:color w:val="000000"/>
          <w:sz w:val="28"/>
          <w:szCs w:val="28"/>
        </w:rPr>
        <w:t>дка, наблюдается снижение уровня воды, с частичным освобождением подтопленных участков;</w:t>
      </w:r>
    </w:p>
    <w:p w14:paraId="3C70E4BF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реке Бердь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района продолжается ледоход, возможны заторные явления ниже по течению, в районе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>. Легостаево с подтоплением низменных участков;</w:t>
      </w:r>
    </w:p>
    <w:p w14:paraId="52043FD1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реке </w:t>
      </w:r>
      <w:r>
        <w:rPr>
          <w:color w:val="000000"/>
          <w:sz w:val="28"/>
          <w:szCs w:val="28"/>
        </w:rPr>
        <w:t xml:space="preserve">Иня в Тогучинского,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>, Новосибирского районов прогнозируется стабилизация паводковой обстановки, освобождение подтопленных участков (г. Тогучин, СНТ «Рябинка»). Возможно подтопление талыми водами от реки Иня низменных участков садовых обществ. Ст</w:t>
      </w:r>
      <w:r>
        <w:rPr>
          <w:color w:val="000000"/>
          <w:sz w:val="28"/>
          <w:szCs w:val="28"/>
        </w:rPr>
        <w:t>абилизация обстановки прогнозируется в течении трёх – пяти дней при понижении уровня воды на реке Иня;</w:t>
      </w:r>
    </w:p>
    <w:p w14:paraId="081109E6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реке Суенга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возможно</w:t>
      </w:r>
      <w:proofErr w:type="gramEnd"/>
      <w:r>
        <w:rPr>
          <w:color w:val="000000"/>
          <w:sz w:val="28"/>
          <w:szCs w:val="28"/>
        </w:rPr>
        <w:t xml:space="preserve"> повышении уровня воды, достижение критических отметок маловероятно;</w:t>
      </w:r>
    </w:p>
    <w:p w14:paraId="10B56F49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реке Бакса в </w:t>
      </w:r>
      <w:proofErr w:type="spellStart"/>
      <w:r>
        <w:rPr>
          <w:color w:val="000000"/>
          <w:sz w:val="28"/>
          <w:szCs w:val="28"/>
        </w:rPr>
        <w:t>Колыванском</w:t>
      </w:r>
      <w:proofErr w:type="spellEnd"/>
      <w:r>
        <w:rPr>
          <w:color w:val="000000"/>
          <w:sz w:val="28"/>
          <w:szCs w:val="28"/>
        </w:rPr>
        <w:t xml:space="preserve"> районе,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Пихтовка в результате увеличения динамики уровня воды в ближайшие трое суток возможно подтопление приусадебных участков по улицам Кирова, Горького, Береговая, Куйбышева, Рабочая. При достижении критических отметок возможно подтопление до 39 жилых домов;</w:t>
      </w:r>
    </w:p>
    <w:p w14:paraId="1B7AF5E0" w14:textId="77777777" w:rsidR="00C45A6E" w:rsidRDefault="00BF776E">
      <w:pPr>
        <w:tabs>
          <w:tab w:val="left" w:pos="0"/>
          <w:tab w:val="center" w:pos="4819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реке Омь наблюдается положительная динамика уровней воды. В ближайшие трое суток в районе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Крещенка</w:t>
      </w:r>
      <w:proofErr w:type="spellEnd"/>
      <w:r>
        <w:rPr>
          <w:color w:val="000000"/>
          <w:sz w:val="28"/>
          <w:szCs w:val="28"/>
        </w:rPr>
        <w:t xml:space="preserve"> Убинского района прогнозируется ледоход, в результате которого возможно размытие дорожного полотна, подтопление низководного автомобильного моста на а</w:t>
      </w:r>
      <w:r>
        <w:rPr>
          <w:color w:val="000000"/>
          <w:sz w:val="28"/>
          <w:szCs w:val="28"/>
        </w:rPr>
        <w:t>втодороге сообщением «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Крещенское –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>. Лисьи Норки» и ограничением движения до населённого пункта Лисьи Норки.</w:t>
      </w:r>
    </w:p>
    <w:p w14:paraId="5737483F" w14:textId="77777777" w:rsidR="00C45A6E" w:rsidRDefault="00BF776E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реках Тара,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(ледостав с промоинами), </w:t>
      </w:r>
      <w:proofErr w:type="spellStart"/>
      <w:r>
        <w:rPr>
          <w:color w:val="000000"/>
          <w:sz w:val="28"/>
          <w:szCs w:val="28"/>
        </w:rPr>
        <w:t>Тартас</w:t>
      </w:r>
      <w:proofErr w:type="spellEnd"/>
      <w:r>
        <w:rPr>
          <w:color w:val="000000"/>
          <w:sz w:val="28"/>
          <w:szCs w:val="28"/>
        </w:rPr>
        <w:t xml:space="preserve"> Северного и Венгеровского районов (разводья, подвижка льда) </w:t>
      </w:r>
      <w:r>
        <w:rPr>
          <w:color w:val="000000"/>
          <w:sz w:val="28"/>
          <w:szCs w:val="28"/>
        </w:rPr>
        <w:t>достижение критических отметок маловероятно.</w:t>
      </w:r>
    </w:p>
    <w:p w14:paraId="7EDB89BA" w14:textId="77777777" w:rsidR="00C45A6E" w:rsidRDefault="00C45A6E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</w:rPr>
      </w:pPr>
    </w:p>
    <w:p w14:paraId="473F938A" w14:textId="77777777" w:rsidR="00C45A6E" w:rsidRDefault="00BF776E">
      <w:pPr>
        <w:tabs>
          <w:tab w:val="left" w:pos="0"/>
        </w:tabs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2.4. Прогноз геомагнитной обстановки.</w:t>
      </w:r>
    </w:p>
    <w:p w14:paraId="6D0BEF6B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 КВ - радиосвязи маловероятно. Озоновый слой выше нормы.</w:t>
      </w:r>
    </w:p>
    <w:p w14:paraId="7DECD759" w14:textId="77777777" w:rsidR="00C45A6E" w:rsidRDefault="00C45A6E">
      <w:pPr>
        <w:ind w:firstLine="567"/>
        <w:rPr>
          <w:color w:val="000000"/>
          <w:sz w:val="28"/>
          <w:szCs w:val="28"/>
          <w:highlight w:val="yellow"/>
        </w:rPr>
      </w:pPr>
    </w:p>
    <w:p w14:paraId="020E7EBA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b/>
          <w:color w:val="000000"/>
          <w:sz w:val="28"/>
          <w:szCs w:val="28"/>
        </w:rPr>
        <w:t>лесопожарной</w:t>
      </w:r>
      <w:proofErr w:type="spellEnd"/>
      <w:r>
        <w:rPr>
          <w:b/>
          <w:color w:val="000000"/>
          <w:sz w:val="28"/>
          <w:szCs w:val="28"/>
        </w:rPr>
        <w:t xml:space="preserve"> обстановки </w:t>
      </w:r>
    </w:p>
    <w:p w14:paraId="01204FC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Новосибирской области ожидается пожароопасность 1, 2 класса.</w:t>
      </w:r>
    </w:p>
    <w:p w14:paraId="4FA0831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со сходом снежного покрова на полях, возможно возникновение ландшафтных пожаров по причине проведения несанкционированных отжигов стерни</w:t>
      </w:r>
      <w:r>
        <w:rPr>
          <w:color w:val="000000"/>
          <w:sz w:val="28"/>
          <w:szCs w:val="28"/>
        </w:rPr>
        <w:t xml:space="preserve">, с наибольшей вероятностью вдоль дорог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и Убинского районов.</w:t>
      </w:r>
    </w:p>
    <w:p w14:paraId="5BD11FD9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лесах, в связи со сходом снежного покрова, возможно возникновение единичных лесных пожаров.</w:t>
      </w:r>
    </w:p>
    <w:p w14:paraId="00BFBE86" w14:textId="77777777" w:rsidR="00C45A6E" w:rsidRDefault="00C45A6E">
      <w:pPr>
        <w:ind w:firstLine="567"/>
        <w:rPr>
          <w:color w:val="000000"/>
          <w:sz w:val="28"/>
          <w:szCs w:val="28"/>
          <w:highlight w:val="yellow"/>
        </w:rPr>
      </w:pPr>
    </w:p>
    <w:p w14:paraId="56FCC35D" w14:textId="77777777" w:rsidR="00C45A6E" w:rsidRDefault="00BF776E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2.6. Прогноз сейсмической обстановки.</w:t>
      </w:r>
    </w:p>
    <w:p w14:paraId="39DFB8D4" w14:textId="77777777" w:rsidR="00C45A6E" w:rsidRDefault="00BF776E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lastRenderedPageBreak/>
        <w:t>ЧС, вызванные сейсмической активностью</w:t>
      </w:r>
      <w:r>
        <w:rPr>
          <w:color w:val="000000"/>
          <w:sz w:val="28"/>
          <w:szCs w:val="28"/>
        </w:rPr>
        <w:t>, маловероятны.</w:t>
      </w:r>
    </w:p>
    <w:p w14:paraId="56C26D7D" w14:textId="77777777" w:rsidR="00C45A6E" w:rsidRDefault="00C45A6E">
      <w:pPr>
        <w:ind w:firstLine="567"/>
        <w:rPr>
          <w:color w:val="000000"/>
          <w:sz w:val="28"/>
          <w:szCs w:val="28"/>
          <w:highlight w:val="yellow"/>
        </w:rPr>
      </w:pPr>
    </w:p>
    <w:p w14:paraId="7BEF3165" w14:textId="77777777" w:rsidR="00C45A6E" w:rsidRDefault="00BF776E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2246D97E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Возникновение ЧС маловероятно. Возможно загрязнение питьевой воды вследствие попадания талых вод в водозаборные сооружения в районах подверженных подтоплению талыми водами.</w:t>
      </w:r>
    </w:p>
    <w:p w14:paraId="13127C89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 связи со сходом снежного п</w:t>
      </w:r>
      <w:r>
        <w:rPr>
          <w:color w:val="000000"/>
          <w:sz w:val="28"/>
          <w:szCs w:val="28"/>
          <w:lang w:eastAsia="ar-SA"/>
        </w:rPr>
        <w:t>окрова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7404B5E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По данным </w:t>
      </w:r>
      <w:r>
        <w:rPr>
          <w:color w:val="000000"/>
          <w:sz w:val="28"/>
          <w:szCs w:val="28"/>
        </w:rPr>
        <w:t>Роспотребнадзора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неблагополучными</w:t>
      </w:r>
      <w:r>
        <w:rPr>
          <w:color w:val="000000"/>
          <w:sz w:val="28"/>
          <w:szCs w:val="28"/>
          <w:lang w:eastAsia="ar-SA"/>
        </w:rPr>
        <w:t xml:space="preserve"> по клещевому энцефалиту являются 20 районов области (Барабинский, </w:t>
      </w:r>
      <w:proofErr w:type="spellStart"/>
      <w:r>
        <w:rPr>
          <w:color w:val="000000"/>
          <w:sz w:val="28"/>
          <w:szCs w:val="28"/>
          <w:lang w:eastAsia="ar-SA"/>
        </w:rPr>
        <w:t>Болотнинский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color w:val="000000"/>
          <w:sz w:val="28"/>
          <w:szCs w:val="28"/>
          <w:lang w:eastAsia="ar-SA"/>
        </w:rPr>
        <w:t>Искитимский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Колыванский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Коченевский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Кыштовский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Маслянинский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Мошковский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color w:val="000000"/>
          <w:sz w:val="28"/>
          <w:szCs w:val="28"/>
          <w:lang w:eastAsia="ar-SA"/>
        </w:rPr>
        <w:t>Черепановский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Краснозер</w:t>
      </w:r>
      <w:r>
        <w:rPr>
          <w:color w:val="000000"/>
          <w:sz w:val="28"/>
          <w:szCs w:val="28"/>
          <w:lang w:eastAsia="ar-SA"/>
        </w:rPr>
        <w:t>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Усть-Таркский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, Барабинский, </w:t>
      </w:r>
      <w:proofErr w:type="spellStart"/>
      <w:r>
        <w:rPr>
          <w:color w:val="000000"/>
          <w:sz w:val="28"/>
          <w:szCs w:val="28"/>
          <w:lang w:eastAsia="ar-SA"/>
        </w:rPr>
        <w:t>Каргатский</w:t>
      </w:r>
      <w:proofErr w:type="spellEnd"/>
      <w:r>
        <w:rPr>
          <w:color w:val="000000"/>
          <w:sz w:val="28"/>
          <w:szCs w:val="28"/>
          <w:lang w:eastAsia="ar-SA"/>
        </w:rPr>
        <w:t xml:space="preserve"> и </w:t>
      </w:r>
      <w:proofErr w:type="spellStart"/>
      <w:r>
        <w:rPr>
          <w:color w:val="000000"/>
          <w:sz w:val="28"/>
          <w:szCs w:val="28"/>
          <w:lang w:eastAsia="ar-SA"/>
        </w:rPr>
        <w:t>Чулымский</w:t>
      </w:r>
      <w:proofErr w:type="spellEnd"/>
      <w:r>
        <w:rPr>
          <w:color w:val="000000"/>
          <w:sz w:val="28"/>
          <w:szCs w:val="28"/>
          <w:lang w:eastAsia="ar-SA"/>
        </w:rPr>
        <w:t>) и 3 города (Бердск, Новосибирск, Обь).</w:t>
      </w:r>
    </w:p>
    <w:p w14:paraId="08982673" w14:textId="77777777" w:rsidR="00C45A6E" w:rsidRDefault="00C45A6E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007C053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2.8. Прогноз эпизоотической обстановки.</w:t>
      </w:r>
    </w:p>
    <w:p w14:paraId="546A12FB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 Возможны случаи заболевания животных вслед</w:t>
      </w:r>
      <w:r>
        <w:rPr>
          <w:color w:val="000000"/>
          <w:sz w:val="28"/>
          <w:szCs w:val="28"/>
        </w:rPr>
        <w:t>ствие использования некачественной воды или воды талых вод в районах подверженных подтоплению талыми водами.</w:t>
      </w:r>
    </w:p>
    <w:p w14:paraId="0467176E" w14:textId="77777777" w:rsidR="00C45A6E" w:rsidRDefault="00C45A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01FA8E30" w14:textId="77777777" w:rsidR="00C45A6E" w:rsidRDefault="00BF776E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2.9. Прогноз пожарной обстановки.</w:t>
      </w:r>
    </w:p>
    <w:p w14:paraId="042D75E6" w14:textId="77777777" w:rsidR="00C45A6E" w:rsidRDefault="00BF776E">
      <w:pPr>
        <w:ind w:firstLine="567"/>
        <w:jc w:val="both"/>
        <w:rPr>
          <w:color w:val="000000"/>
        </w:rPr>
      </w:pPr>
      <w:bookmarkStart w:id="9" w:name="_Hlk152942468"/>
      <w:r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</w:t>
      </w:r>
      <w:r>
        <w:rPr>
          <w:color w:val="000000"/>
          <w:sz w:val="28"/>
          <w:szCs w:val="28"/>
        </w:rPr>
        <w:t>ом секторе и садово-дачных обществах с постоянным проживанием людей, связанный с перекалом печей и использованием обогревательных устройств, в том числе кустарного производства, неправильным устройством, использованием для обогрева помещений газового обору</w:t>
      </w:r>
      <w:r>
        <w:rPr>
          <w:color w:val="000000"/>
          <w:sz w:val="28"/>
          <w:szCs w:val="28"/>
        </w:rPr>
        <w:t>дования в результате просушки домов и хозяйственных построек, вследствие повреждения их паводковыми водами.</w:t>
      </w:r>
    </w:p>
    <w:p w14:paraId="5F109D58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Причинами возгорания могут стать неосторожное обращение населения с огнём, в том числе при курении, нарушение правил устройства и </w:t>
      </w:r>
      <w:r>
        <w:rPr>
          <w:color w:val="000000"/>
          <w:sz w:val="28"/>
          <w:szCs w:val="28"/>
        </w:rPr>
        <w:t>эксплуатации электрооборудования, нарушение правил монтажа и эксплуатации электропроводки.</w:t>
      </w:r>
      <w:bookmarkEnd w:id="9"/>
    </w:p>
    <w:p w14:paraId="1B7130EC" w14:textId="77777777" w:rsidR="00C45A6E" w:rsidRDefault="00C45A6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06E90DE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0CB88B43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rPr>
          <w:color w:val="000000"/>
        </w:rPr>
        <w:t xml:space="preserve"> </w:t>
      </w:r>
    </w:p>
    <w:p w14:paraId="1EC3516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Не исключается вероятность подтопления объектов энергетики в том числе опор ЛЭП, что может привести к их подмыву и падению, обрыву и провисанию проводов в Новосибирском, </w:t>
      </w:r>
      <w:proofErr w:type="spellStart"/>
      <w:r>
        <w:rPr>
          <w:color w:val="000000"/>
          <w:sz w:val="28"/>
          <w:szCs w:val="28"/>
        </w:rPr>
        <w:t>Болотнинском</w:t>
      </w:r>
      <w:proofErr w:type="spellEnd"/>
      <w:r>
        <w:rPr>
          <w:color w:val="000000"/>
          <w:sz w:val="28"/>
          <w:szCs w:val="28"/>
        </w:rPr>
        <w:t xml:space="preserve">, Сузунском, Карасукском, Тогучинском и </w:t>
      </w:r>
      <w:proofErr w:type="spellStart"/>
      <w:r>
        <w:rPr>
          <w:color w:val="000000"/>
          <w:sz w:val="28"/>
          <w:szCs w:val="28"/>
        </w:rPr>
        <w:t>Мошковском</w:t>
      </w:r>
      <w:proofErr w:type="spellEnd"/>
      <w:r>
        <w:rPr>
          <w:color w:val="000000"/>
          <w:sz w:val="28"/>
          <w:szCs w:val="28"/>
        </w:rPr>
        <w:t xml:space="preserve"> районах.</w:t>
      </w:r>
    </w:p>
    <w:p w14:paraId="46176C08" w14:textId="77777777" w:rsidR="00C45A6E" w:rsidRDefault="00BF776E">
      <w:pPr>
        <w:ind w:firstLine="567"/>
        <w:jc w:val="both"/>
        <w:rPr>
          <w:color w:val="000000"/>
        </w:rPr>
      </w:pPr>
      <w:bookmarkStart w:id="10" w:name="_Hlk163747381"/>
      <w:r>
        <w:rPr>
          <w:color w:val="000000"/>
          <w:sz w:val="28"/>
          <w:szCs w:val="28"/>
        </w:rPr>
        <w:t>В связи с пр</w:t>
      </w:r>
      <w:r>
        <w:rPr>
          <w:color w:val="000000"/>
          <w:sz w:val="28"/>
          <w:szCs w:val="28"/>
        </w:rPr>
        <w:t xml:space="preserve">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</w:t>
      </w:r>
      <w:r>
        <w:rPr>
          <w:color w:val="000000"/>
          <w:sz w:val="28"/>
          <w:szCs w:val="28"/>
        </w:rPr>
        <w:lastRenderedPageBreak/>
        <w:t>энергетики с целью проведения ремонтных работ из-за возможного нарушения</w:t>
      </w:r>
      <w:r>
        <w:rPr>
          <w:color w:val="000000"/>
          <w:sz w:val="28"/>
          <w:szCs w:val="28"/>
        </w:rPr>
        <w:t xml:space="preserve"> транспортного сообщения.</w:t>
      </w:r>
      <w:bookmarkEnd w:id="10"/>
    </w:p>
    <w:p w14:paraId="0B9859E8" w14:textId="77777777" w:rsidR="00C45A6E" w:rsidRDefault="00C45A6E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6EBDDB71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1" w:name="_Hlk122957635"/>
    </w:p>
    <w:p w14:paraId="049866CE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</w:t>
      </w:r>
      <w:r>
        <w:rPr>
          <w:color w:val="000000"/>
          <w:sz w:val="28"/>
          <w:szCs w:val="28"/>
        </w:rPr>
        <w:t>отопительного периода.</w:t>
      </w:r>
    </w:p>
    <w:p w14:paraId="65AC9DE9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, Тогучинский, </w:t>
      </w:r>
      <w:proofErr w:type="spellStart"/>
      <w:r>
        <w:rPr>
          <w:color w:val="000000"/>
          <w:sz w:val="28"/>
          <w:szCs w:val="28"/>
        </w:rPr>
        <w:t>Краснозерский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, Ордынский и 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районы Новосибирской области.</w:t>
      </w:r>
    </w:p>
    <w:p w14:paraId="2A32F2E0" w14:textId="77777777" w:rsidR="00C45A6E" w:rsidRDefault="00C45A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7F9C3F2E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1"/>
      <w:r>
        <w:rPr>
          <w:b/>
          <w:color w:val="000000"/>
          <w:sz w:val="28"/>
          <w:szCs w:val="28"/>
        </w:rPr>
        <w:t>.</w:t>
      </w:r>
    </w:p>
    <w:p w14:paraId="2830D6AD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Сохраняется вероятность возникновения несчастных случаев и происшествий на водоемах, связанных с провалом людей в местах выхо</w:t>
      </w:r>
      <w:r>
        <w:rPr>
          <w:color w:val="000000"/>
          <w:sz w:val="28"/>
          <w:szCs w:val="28"/>
        </w:rPr>
        <w:t>да на тонкий лед на водных объектах, не вскрывшихся ото льда, а на водоёмах, освободившихся ото льда - в случаях нарушения правил безопасности при пользовании маломерными плавательными средствами при лове рыбы, по причине оставления детей без присмотра вбл</w:t>
      </w:r>
      <w:r>
        <w:rPr>
          <w:color w:val="000000"/>
          <w:sz w:val="28"/>
          <w:szCs w:val="28"/>
        </w:rPr>
        <w:t xml:space="preserve">изи водоемов с наибольшей вероятностью на Новосибирском водохранилище, </w:t>
      </w:r>
      <w:r>
        <w:rPr>
          <w:color w:val="000000"/>
          <w:sz w:val="28"/>
        </w:rPr>
        <w:t xml:space="preserve">на реках Обь, Бердь, </w:t>
      </w:r>
      <w:r>
        <w:rPr>
          <w:color w:val="000000"/>
          <w:sz w:val="28"/>
          <w:szCs w:val="28"/>
        </w:rPr>
        <w:t xml:space="preserve">Иня, Омь, озерах Чаны, Малые Чаны, </w:t>
      </w:r>
      <w:proofErr w:type="spellStart"/>
      <w:r>
        <w:rPr>
          <w:color w:val="000000"/>
          <w:sz w:val="28"/>
          <w:szCs w:val="28"/>
        </w:rPr>
        <w:t>Яркуль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Сартлан</w:t>
      </w:r>
      <w:proofErr w:type="spellEnd"/>
      <w:r>
        <w:rPr>
          <w:color w:val="000000"/>
          <w:sz w:val="28"/>
          <w:szCs w:val="28"/>
        </w:rPr>
        <w:t>.</w:t>
      </w:r>
    </w:p>
    <w:p w14:paraId="74A87433" w14:textId="77777777" w:rsidR="00C45A6E" w:rsidRDefault="00C45A6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D7EC20F" w14:textId="77777777" w:rsidR="00C45A6E" w:rsidRDefault="00BF776E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  <w:highlight w:val="white"/>
        </w:rPr>
        <w:t>2.13. Прогноз обстановки на дорогах.</w:t>
      </w:r>
    </w:p>
    <w:p w14:paraId="02E7AB45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Осадки в виде дождей, туманы в ночные и утренние часы, ухудшение дорожног</w:t>
      </w:r>
      <w:r>
        <w:rPr>
          <w:color w:val="000000"/>
          <w:sz w:val="28"/>
          <w:szCs w:val="28"/>
        </w:rPr>
        <w:t>о покрытия, большое количество автотранспорта, в том числе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велосипедов, мотоциклов и </w:t>
      </w:r>
      <w:proofErr w:type="spellStart"/>
      <w:r>
        <w:rPr>
          <w:color w:val="000000"/>
          <w:sz w:val="28"/>
          <w:szCs w:val="28"/>
        </w:rPr>
        <w:t>электросамокатов</w:t>
      </w:r>
      <w:proofErr w:type="spellEnd"/>
      <w:r>
        <w:rPr>
          <w:color w:val="000000"/>
          <w:sz w:val="28"/>
          <w:szCs w:val="28"/>
        </w:rPr>
        <w:t xml:space="preserve">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</w:t>
      </w:r>
      <w:r>
        <w:rPr>
          <w:color w:val="000000"/>
          <w:sz w:val="28"/>
          <w:szCs w:val="28"/>
        </w:rPr>
        <w:t>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</w:t>
      </w:r>
      <w:r>
        <w:rPr>
          <w:color w:val="000000"/>
          <w:sz w:val="28"/>
          <w:szCs w:val="28"/>
        </w:rPr>
        <w:t>ральных и территориальных трасс:</w:t>
      </w:r>
    </w:p>
    <w:p w14:paraId="0CA22640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43A210D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</w:t>
      </w:r>
      <w:r>
        <w:rPr>
          <w:color w:val="000000"/>
          <w:sz w:val="28"/>
          <w:szCs w:val="28"/>
        </w:rPr>
        <w:t>ердск, протяженность 0,18 км, опасный поворот);</w:t>
      </w:r>
    </w:p>
    <w:p w14:paraId="3B6DADD1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9B1F6AD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43,082 км по 43,812 км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3B513D30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36A53B78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, протяженность 2,012 км, крутой спуск (подъём));</w:t>
      </w:r>
    </w:p>
    <w:p w14:paraId="7BE74D0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7383B91F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</w:t>
      </w:r>
      <w:r>
        <w:rPr>
          <w:color w:val="000000"/>
          <w:sz w:val="28"/>
          <w:szCs w:val="28"/>
        </w:rPr>
        <w:t>, пересечение с железнодорожными путями в одном уровне);</w:t>
      </w:r>
    </w:p>
    <w:p w14:paraId="1F61CC88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05F03109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протяженность 0,779 км, опасный поворот);</w:t>
      </w:r>
    </w:p>
    <w:p w14:paraId="6A95DF83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12AC9C1B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02ED606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6798D3F1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6D07B40B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</w:t>
      </w:r>
      <w:r>
        <w:rPr>
          <w:color w:val="000000"/>
          <w:sz w:val="28"/>
          <w:szCs w:val="28"/>
        </w:rPr>
        <w:t>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5B9305A0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324BC03D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</w:t>
      </w:r>
      <w:r>
        <w:rPr>
          <w:color w:val="000000"/>
          <w:sz w:val="28"/>
          <w:szCs w:val="28"/>
        </w:rPr>
        <w:t>женность 0,677 км, опасный поворот);</w:t>
      </w:r>
    </w:p>
    <w:p w14:paraId="1F1ABA54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5F6AFE0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269F763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4E8797AA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Регионального значения.</w:t>
      </w:r>
    </w:p>
    <w:p w14:paraId="42D2339E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15130C98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16D6CEAE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13 по 14 км Но</w:t>
      </w:r>
      <w:r>
        <w:rPr>
          <w:color w:val="000000"/>
          <w:sz w:val="28"/>
          <w:szCs w:val="28"/>
        </w:rPr>
        <w:t>восибирского района;</w:t>
      </w:r>
    </w:p>
    <w:p w14:paraId="49C3AA2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72644654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</w:p>
    <w:p w14:paraId="0BEAF762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14:paraId="50212F9C" w14:textId="77777777" w:rsidR="00C45A6E" w:rsidRDefault="00BF776E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</w:t>
      </w:r>
      <w:r>
        <w:rPr>
          <w:color w:val="000000"/>
          <w:sz w:val="28"/>
          <w:szCs w:val="28"/>
        </w:rPr>
        <w:t>орогам местного значения.</w:t>
      </w:r>
    </w:p>
    <w:p w14:paraId="242C58AD" w14:textId="77777777" w:rsidR="00C45A6E" w:rsidRDefault="00C45A6E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3" w:name="_GoBack"/>
      <w:bookmarkEnd w:id="12"/>
      <w:bookmarkEnd w:id="13"/>
    </w:p>
    <w:sectPr w:rsidR="00C45A6E">
      <w:headerReference w:type="default" r:id="rId7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1005" w14:textId="77777777" w:rsidR="00BF776E" w:rsidRDefault="00BF776E">
      <w:r>
        <w:separator/>
      </w:r>
    </w:p>
  </w:endnote>
  <w:endnote w:type="continuationSeparator" w:id="0">
    <w:p w14:paraId="797B707F" w14:textId="77777777" w:rsidR="00BF776E" w:rsidRDefault="00BF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F391" w14:textId="77777777" w:rsidR="00BF776E" w:rsidRDefault="00BF776E">
      <w:r>
        <w:separator/>
      </w:r>
    </w:p>
  </w:footnote>
  <w:footnote w:type="continuationSeparator" w:id="0">
    <w:p w14:paraId="66D7DEF1" w14:textId="77777777" w:rsidR="00BF776E" w:rsidRDefault="00BF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3384" w14:textId="77777777" w:rsidR="00C45A6E" w:rsidRDefault="00BF776E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5B0"/>
    <w:multiLevelType w:val="multilevel"/>
    <w:tmpl w:val="AB067CE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1EE74321"/>
    <w:multiLevelType w:val="multilevel"/>
    <w:tmpl w:val="20500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9222D30"/>
    <w:multiLevelType w:val="multilevel"/>
    <w:tmpl w:val="8746ED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BC50DEA"/>
    <w:multiLevelType w:val="multilevel"/>
    <w:tmpl w:val="12E2B57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A6E"/>
    <w:rsid w:val="00AD2804"/>
    <w:rsid w:val="00BF776E"/>
    <w:rsid w:val="00C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7B70"/>
  <w15:docId w15:val="{3CA89E15-C517-46BC-B342-674B268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10">
    <w:name w:val="Основной шрифт абзаца1"/>
    <w:qFormat/>
  </w:style>
  <w:style w:type="character" w:styleId="af0">
    <w:name w:val="page number"/>
    <w:basedOn w:val="10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paragraph" w:styleId="a4">
    <w:name w:val="Title"/>
    <w:basedOn w:val="a"/>
    <w:next w:val="af7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widowControl w:val="0"/>
      <w:jc w:val="both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basedOn w:val="a4"/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1c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e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2e">
    <w:name w:val="toc 2"/>
    <w:basedOn w:val="a"/>
    <w:next w:val="a"/>
    <w:uiPriority w:val="39"/>
    <w:unhideWhenUsed/>
    <w:pPr>
      <w:spacing w:after="57"/>
      <w:ind w:left="283"/>
    </w:pPr>
  </w:style>
  <w:style w:type="paragraph" w:styleId="3b">
    <w:name w:val="toc 3"/>
    <w:basedOn w:val="a"/>
    <w:next w:val="a"/>
    <w:uiPriority w:val="39"/>
    <w:unhideWhenUsed/>
    <w:pPr>
      <w:spacing w:after="57"/>
      <w:ind w:left="567"/>
    </w:pPr>
  </w:style>
  <w:style w:type="paragraph" w:styleId="4c">
    <w:name w:val="toc 4"/>
    <w:basedOn w:val="a"/>
    <w:next w:val="a"/>
    <w:uiPriority w:val="39"/>
    <w:unhideWhenUsed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pPr>
      <w:spacing w:after="57"/>
      <w:ind w:left="1134"/>
    </w:pPr>
  </w:style>
  <w:style w:type="paragraph" w:styleId="6b">
    <w:name w:val="toc 6"/>
    <w:basedOn w:val="a"/>
    <w:next w:val="a"/>
    <w:uiPriority w:val="39"/>
    <w:unhideWhenUsed/>
    <w:pPr>
      <w:spacing w:after="57"/>
      <w:ind w:left="1417"/>
    </w:pPr>
  </w:style>
  <w:style w:type="paragraph" w:styleId="7b">
    <w:name w:val="toc 7"/>
    <w:basedOn w:val="a"/>
    <w:next w:val="a"/>
    <w:uiPriority w:val="39"/>
    <w:unhideWhenUsed/>
    <w:pPr>
      <w:spacing w:after="57"/>
      <w:ind w:left="1701"/>
    </w:pPr>
  </w:style>
  <w:style w:type="paragraph" w:styleId="85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qFormat/>
  </w:style>
  <w:style w:type="paragraph" w:customStyle="1" w:styleId="820">
    <w:name w:val="Заголовок8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f0">
    <w:name w:val="Текст примечания1"/>
    <w:basedOn w:val="a"/>
    <w:qFormat/>
  </w:style>
  <w:style w:type="paragraph" w:styleId="aff">
    <w:name w:val="annotation subject"/>
    <w:basedOn w:val="1f0"/>
    <w:next w:val="1f0"/>
    <w:qFormat/>
    <w:rPr>
      <w:b/>
      <w:bCs/>
    </w:rPr>
  </w:style>
  <w:style w:type="paragraph" w:customStyle="1" w:styleId="aff0">
    <w:name w:val="Колонтитул"/>
    <w:basedOn w:val="a"/>
    <w:qFormat/>
  </w:style>
  <w:style w:type="paragraph" w:customStyle="1" w:styleId="2f">
    <w:name w:val="Верхний колонтитул2"/>
    <w:basedOn w:val="a"/>
    <w:qFormat/>
  </w:style>
  <w:style w:type="paragraph" w:styleId="aff1">
    <w:name w:val="Body Text Indent"/>
    <w:basedOn w:val="a"/>
    <w:pPr>
      <w:ind w:left="851" w:firstLine="709"/>
      <w:jc w:val="both"/>
    </w:pPr>
    <w:rPr>
      <w:sz w:val="28"/>
    </w:rPr>
  </w:style>
  <w:style w:type="paragraph" w:customStyle="1" w:styleId="2f0">
    <w:name w:val="Нижний колонтитул2"/>
    <w:basedOn w:val="a"/>
    <w:qFormat/>
    <w:rPr>
      <w:sz w:val="28"/>
    </w:rPr>
  </w:style>
  <w:style w:type="paragraph" w:styleId="aff2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Заголовок1"/>
    <w:basedOn w:val="a"/>
    <w:next w:val="af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aff3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</w:style>
  <w:style w:type="paragraph" w:styleId="aff4">
    <w:name w:val="No Spacing"/>
    <w:qFormat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pPr>
      <w:widowControl w:val="0"/>
    </w:pPr>
    <w:rPr>
      <w:color w:val="000000"/>
    </w:rPr>
  </w:style>
  <w:style w:type="paragraph" w:styleId="aff9">
    <w:name w:val="header"/>
    <w:basedOn w:val="aff0"/>
  </w:style>
  <w:style w:type="paragraph" w:styleId="af6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customStyle="1" w:styleId="1f6">
    <w:name w:val="Без интервала1"/>
    <w:qFormat/>
  </w:style>
  <w:style w:type="table" w:styleId="1f7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f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f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f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2678</Words>
  <Characters>15268</Characters>
  <Application>Microsoft Office Word</Application>
  <DocSecurity>0</DocSecurity>
  <Lines>127</Lines>
  <Paragraphs>35</Paragraphs>
  <ScaleCrop>false</ScaleCrop>
  <Company>Microsoft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121</cp:revision>
  <dcterms:created xsi:type="dcterms:W3CDTF">2024-03-11T01:54:00Z</dcterms:created>
  <dcterms:modified xsi:type="dcterms:W3CDTF">2024-04-16T12:52:00Z</dcterms:modified>
  <dc:language>ru-RU</dc:language>
  <cp:version>1048576</cp:version>
</cp:coreProperties>
</file>