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jpeg" ContentType="image/jpe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rPr>
              <w:t>26</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left="-142" w:right="-144" w:hanging="0"/>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lang w:val="en-US"/>
              </w:rPr>
              <w:t>177</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27.06.2025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left="0" w:hanging="0"/>
        <w:jc w:val="center"/>
        <w:outlineLvl w:val="0"/>
        <w:rPr>
          <w:rFonts w:ascii="Times New Roman" w:hAnsi="Times New Roman"/>
          <w:sz w:val="26"/>
          <w:szCs w:val="26"/>
        </w:rPr>
      </w:pPr>
      <w:r>
        <w:rPr>
          <w:rFonts w:ascii="Times New Roman" w:hAnsi="Times New Roman"/>
          <w:b/>
          <w:color w:val="000000"/>
          <w:sz w:val="26"/>
          <w:szCs w:val="26"/>
        </w:rPr>
        <w:t>Опасные метеорологические явления</w:t>
      </w:r>
    </w:p>
    <w:tbl>
      <w:tblPr>
        <w:tblW w:w="9800"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38"/>
        <w:gridCol w:w="7761"/>
      </w:tblGrid>
      <w:tr>
        <w:trPr>
          <w:trHeight w:val="1004"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b w:val="false"/>
                <w:i w:val="false"/>
                <w:caps w:val="false"/>
                <w:smallCaps w:val="false"/>
                <w:color w:val="000000"/>
                <w:spacing w:val="0"/>
                <w:sz w:val="28"/>
                <w:szCs w:val="26"/>
                <w:shd w:fill="auto" w:val="clear"/>
              </w:rPr>
              <w:t>27-30.06. местами сохранится высокая пожароопасность</w:t>
            </w:r>
          </w:p>
          <w:p>
            <w:pPr>
              <w:pStyle w:val="Normal"/>
              <w:widowControl w:val="false"/>
              <w:jc w:val="center"/>
              <w:rPr>
                <w:highlight w:val="none"/>
                <w:shd w:fill="auto" w:val="clear"/>
              </w:rPr>
            </w:pPr>
            <w:r>
              <w:rPr>
                <w:rFonts w:ascii="Times New Roman" w:hAnsi="Times New Roman"/>
                <w:b w:val="false"/>
                <w:i w:val="false"/>
                <w:caps w:val="false"/>
                <w:smallCaps w:val="false"/>
                <w:color w:val="000000"/>
                <w:spacing w:val="0"/>
                <w:sz w:val="28"/>
                <w:szCs w:val="26"/>
                <w:shd w:fill="auto" w:val="clear"/>
              </w:rPr>
              <w:t>(4 класса)</w:t>
            </w:r>
          </w:p>
        </w:tc>
      </w:tr>
    </w:tbl>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olor w:val="FF0000"/>
          <w:sz w:val="26"/>
          <w:szCs w:val="26"/>
          <w:highlight w:val="none"/>
          <w:shd w:fill="FFFF00" w:val="clear"/>
          <w:lang w:bidi="hi-IN"/>
        </w:rPr>
      </w:pPr>
      <w:r>
        <w:rPr>
          <w:rFonts w:ascii="Times New Roman" w:hAnsi="Times New Roman"/>
          <w:color w:val="FF0000"/>
          <w:sz w:val="26"/>
          <w:szCs w:val="26"/>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rFonts w:ascii="Times New Roman" w:hAnsi="Times New Roman"/>
          <w:b w:val="false"/>
          <w:b w:val="false"/>
          <w:i w:val="false"/>
          <w:i w:val="false"/>
          <w:caps w:val="false"/>
          <w:smallCaps w:val="false"/>
          <w:color w:val="000000"/>
          <w:spacing w:val="0"/>
          <w:sz w:val="26"/>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 xml:space="preserve">По данным Службы МОС в г. Новосибирск за 24-25 июня превышение концентрации формальдегида в воздухе города - до 1,3 ПДК (Дзержинский район). </w:t>
      </w:r>
    </w:p>
    <w:p>
      <w:pPr>
        <w:pStyle w:val="Normal"/>
        <w:ind w:firstLine="567"/>
        <w:jc w:val="both"/>
        <w:rPr>
          <w:rFonts w:ascii="Times New Roman" w:hAnsi="Times New Roman"/>
          <w:b w:val="false"/>
          <w:b w:val="false"/>
          <w:i w:val="false"/>
          <w:i w:val="false"/>
          <w:caps w:val="false"/>
          <w:smallCaps w:val="false"/>
          <w:color w:val="000000"/>
          <w:spacing w:val="0"/>
          <w:sz w:val="26"/>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По данным КЛМС «Искитим» в гг. Искитим и Бердск за 24-25 июня превышений ПДК нет.</w:t>
      </w:r>
      <w:r>
        <w:rPr>
          <w:rFonts w:ascii="Times New Roman" w:hAnsi="Times New Roman"/>
          <w:b w:val="false"/>
          <w:i w:val="false"/>
          <w:caps w:val="false"/>
          <w:smallCaps w:val="false"/>
          <w:color w:val="000000"/>
          <w:spacing w:val="0"/>
          <w:sz w:val="26"/>
          <w:szCs w:val="26"/>
          <w:shd w:fill="auto" w:val="clear"/>
          <w:lang w:bidi="hi-IN"/>
        </w:rPr>
        <w:t xml:space="preserve"> </w:t>
      </w:r>
    </w:p>
    <w:p>
      <w:pPr>
        <w:pStyle w:val="Normal"/>
        <w:jc w:val="both"/>
        <w:rPr>
          <w:rFonts w:ascii="Times New Roman" w:hAnsi="Times New Roman"/>
          <w:color w:val="000000"/>
          <w:sz w:val="26"/>
          <w:szCs w:val="26"/>
          <w:highlight w:val="none"/>
          <w:shd w:fill="auto" w:val="clear"/>
          <w:lang w:bidi="hi-IN"/>
        </w:rPr>
      </w:pPr>
      <w:r>
        <w:rPr>
          <w:rFonts w:ascii="Times New Roman" w:hAnsi="Times New Roman"/>
          <w:color w:val="000000"/>
          <w:sz w:val="26"/>
          <w:szCs w:val="26"/>
          <w:shd w:fill="auto"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jc w:val="both"/>
        <w:rPr>
          <w:rFonts w:ascii="Times New Roman" w:hAnsi="Times New Roman"/>
          <w:color w:val="FF0000"/>
          <w:sz w:val="26"/>
          <w:szCs w:val="26"/>
          <w:highlight w:val="none"/>
          <w:shd w:fill="FFFF00" w:val="clear"/>
          <w:lang w:bidi="hi-IN"/>
        </w:rPr>
      </w:pPr>
      <w:r>
        <w:rPr>
          <w:rFonts w:ascii="Times New Roman" w:hAnsi="Times New Roman"/>
          <w:color w:val="FF0000"/>
          <w:sz w:val="26"/>
          <w:szCs w:val="26"/>
          <w:shd w:fill="FFFF00" w:val="clear"/>
          <w:lang w:bidi="hi-IN"/>
        </w:rPr>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113,45 мБС (Балтийской системы измерений), сброс 2480 м³/с, приток 2620 м³/с. Уровень воды в реке Обь в районе г. Новосибирска находится на отметке 156 см.</w:t>
      </w:r>
    </w:p>
    <w:p>
      <w:pPr>
        <w:pStyle w:val="Normal"/>
        <w:jc w:val="both"/>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Сузунского района установилась высокая пожароопасность 4-го класса, на остальной территории области — пожароопасность преимущественно 1-го, местами 2-го и 3-го  классов.</w:t>
      </w:r>
    </w:p>
    <w:p>
      <w:pPr>
        <w:pStyle w:val="Normal"/>
        <w:spacing w:before="0" w:after="0"/>
        <w:ind w:firstLine="567"/>
        <w:jc w:val="both"/>
        <w:rPr>
          <w:highlight w:val="none"/>
          <w:shd w:fill="auto" w:val="clear"/>
        </w:rPr>
      </w:pPr>
      <w:r>
        <w:rPr>
          <w:rFonts w:cs="Times New Roman" w:ascii="Times New Roman" w:hAnsi="Times New Roman"/>
          <w:color w:val="000000" w:themeColor="text1"/>
          <w:sz w:val="26"/>
          <w:szCs w:val="26"/>
          <w:shd w:fill="auto" w:val="clear"/>
          <w:lang w:bidi="hi-IN"/>
        </w:rPr>
        <w:t>За сутки лесные пожары не зарегистрированы. Действующих лесных пожаров нет.</w:t>
      </w:r>
    </w:p>
    <w:p>
      <w:pPr>
        <w:pStyle w:val="Normal"/>
        <w:spacing w:before="0" w:after="0"/>
        <w:ind w:firstLine="567"/>
        <w:jc w:val="both"/>
        <w:rPr>
          <w:highlight w:val="none"/>
          <w:shd w:fill="auto" w:val="clear"/>
        </w:rPr>
      </w:pPr>
      <w:r>
        <w:rPr>
          <w:rFonts w:cs="Times New Roman" w:ascii="Times New Roman" w:hAnsi="Times New Roman"/>
          <w:color w:val="000000" w:themeColor="text1"/>
          <w:sz w:val="26"/>
          <w:szCs w:val="26"/>
          <w:shd w:fill="auto" w:val="clear"/>
          <w:lang w:bidi="hi-IN"/>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rFonts w:ascii="Times New Roman" w:hAnsi="Times New Roman" w:cs="Times New Roman"/>
          <w:color w:val="000000" w:themeColor="text1"/>
          <w:sz w:val="26"/>
          <w:szCs w:val="26"/>
          <w:highlight w:val="none"/>
          <w:shd w:fill="auto" w:val="clear"/>
          <w:lang w:bidi="hi-IN"/>
        </w:rPr>
      </w:pPr>
      <w:r>
        <w:rPr>
          <w:rFonts w:cs="Times New Roman" w:ascii="Times New Roman" w:hAnsi="Times New Roman"/>
          <w:color w:val="000000" w:themeColor="text1"/>
          <w:sz w:val="26"/>
          <w:szCs w:val="26"/>
          <w:shd w:fill="auto" w:val="clear"/>
          <w:lang w:bidi="hi-IN"/>
        </w:rPr>
        <w:t>По данным космического мониторинга за сутки на территории области    зафиксирована 1 термическая точка, не подтвердилась (АППГ - 3, в 5-ти км зоне - 3). Всего с начала года зарегистрировано - 1523 термических точек, из них в 5-ти км зоне - 1225 (АППГ - 685, в 5-ти км зоне - 563).</w:t>
      </w:r>
    </w:p>
    <w:p>
      <w:pPr>
        <w:pStyle w:val="Normal"/>
        <w:tabs>
          <w:tab w:val="clear" w:pos="720"/>
          <w:tab w:val="left" w:pos="0" w:leader="none"/>
        </w:tabs>
        <w:ind w:firstLine="567"/>
        <w:jc w:val="both"/>
        <w:rPr>
          <w:rFonts w:ascii="Times New Roman" w:hAnsi="Times New Roman"/>
          <w:b/>
          <w:b/>
          <w:color w:val="000000"/>
          <w:sz w:val="26"/>
          <w:szCs w:val="26"/>
          <w:highlight w:val="none"/>
          <w:shd w:fill="FFFF00" w:val="clear"/>
        </w:rPr>
      </w:pPr>
      <w:r>
        <w:rPr>
          <w:rFonts w:ascii="Times New Roman" w:hAnsi="Times New Roman"/>
          <w:b/>
          <w:color w:val="000000"/>
          <w:sz w:val="26"/>
          <w:szCs w:val="2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jc w:val="both"/>
        <w:rPr>
          <w:rFonts w:ascii="Times New Roman" w:hAnsi="Times New Roman"/>
          <w:b/>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highlight w:val="none"/>
          <w:shd w:fill="FFFF00" w:val="clear"/>
        </w:rPr>
      </w:pPr>
      <w:r>
        <w:rPr>
          <w:rFonts w:ascii="Times New Roman" w:hAnsi="Times New Roman"/>
          <w:sz w:val="26"/>
          <w:szCs w:val="26"/>
          <w:shd w:fill="auto" w:val="clear"/>
        </w:rPr>
        <w:t>За прошедшие сутки на территории области зарегистрировано 13 техногенных пожаров, из них в жилом секторе 7 (г. Новосибирск: Калининский, Дзержинский, Октябрьский районы, Коченёвский район: р.п. Коченёво, Болотнинский район: д. Новая Чебула, Мошковский район: с. Сокур, Тогучинский район: р.п. Горный, Ордынский район: р.п. Ордынское, Колыванский район: с. Скала), в результате которых погибших и травмированных нет.</w:t>
      </w:r>
    </w:p>
    <w:p>
      <w:pPr>
        <w:pStyle w:val="Normal"/>
        <w:ind w:firstLine="567"/>
        <w:jc w:val="both"/>
        <w:rPr>
          <w:highlight w:val="none"/>
          <w:shd w:fill="auto" w:val="clear"/>
        </w:rPr>
      </w:pPr>
      <w:r>
        <w:rPr>
          <w:rFonts w:ascii="Times New Roman" w:hAnsi="Times New Roman"/>
          <w:color w:val="000000"/>
          <w:sz w:val="26"/>
          <w:szCs w:val="26"/>
          <w:shd w:fill="auto" w:val="clear"/>
        </w:rPr>
        <w:t>Основные п</w:t>
      </w:r>
      <w:r>
        <w:rPr>
          <w:rFonts w:ascii="Times New Roman" w:hAnsi="Times New Roman"/>
          <w:color w:val="000000"/>
          <w:sz w:val="26"/>
          <w:szCs w:val="26"/>
          <w:shd w:fill="auto" w:val="clear"/>
        </w:rPr>
        <w:t>ричины пожаров:</w:t>
      </w:r>
    </w:p>
    <w:p>
      <w:pPr>
        <w:pStyle w:val="Normal"/>
        <w:ind w:left="0" w:right="0" w:firstLine="567"/>
        <w:jc w:val="both"/>
        <w:rPr/>
      </w:pPr>
      <w:r>
        <w:rPr>
          <w:rFonts w:ascii="Times New Roman" w:hAnsi="Times New Roman"/>
          <w:color w:val="000000"/>
          <w:sz w:val="26"/>
          <w:szCs w:val="26"/>
          <w:shd w:fill="auto" w:val="clear"/>
        </w:rPr>
        <w:t>- прочие причины по группе НПУЭ эл. оборудования.</w:t>
      </w:r>
    </w:p>
    <w:p>
      <w:pPr>
        <w:pStyle w:val="Normal"/>
        <w:ind w:firstLine="567"/>
        <w:jc w:val="both"/>
        <w:rPr>
          <w:highlight w:val="none"/>
          <w:shd w:fill="auto" w:val="clear"/>
        </w:rPr>
      </w:pPr>
      <w:r>
        <w:rPr>
          <w:rFonts w:ascii="Times New Roman" w:hAnsi="Times New Roman"/>
          <w:sz w:val="26"/>
          <w:szCs w:val="26"/>
          <w:shd w:fill="auto" w:val="clear"/>
        </w:rPr>
        <w:t>В остальных случаях причины пожаров, виновные лица и материальный ущерб устанавливаются.</w:t>
      </w:r>
    </w:p>
    <w:p>
      <w:pPr>
        <w:pStyle w:val="Normal"/>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 погибших нет.</w:t>
      </w:r>
    </w:p>
    <w:p>
      <w:pPr>
        <w:pStyle w:val="Normal"/>
        <w:ind w:firstLine="567"/>
        <w:jc w:val="both"/>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tabs>
          <w:tab w:val="clear" w:pos="720"/>
          <w:tab w:val="left" w:pos="0" w:leader="none"/>
        </w:tabs>
        <w:ind w:firstLine="567"/>
        <w:jc w:val="both"/>
        <w:rPr>
          <w:rFonts w:ascii="Times New Roman" w:hAnsi="Times New Roman"/>
          <w:bCs/>
          <w:color w:val="000000"/>
          <w:sz w:val="26"/>
          <w:szCs w:val="26"/>
          <w:shd w:fill="auto" w:val="clear"/>
        </w:rPr>
      </w:pPr>
      <w:r>
        <w:rPr>
          <w:rFonts w:ascii="Times New Roman" w:hAnsi="Times New Roman"/>
          <w:bCs/>
          <w:color w:val="000000"/>
          <w:sz w:val="26"/>
          <w:szCs w:val="26"/>
          <w:shd w:fill="auto" w:val="clear"/>
        </w:rPr>
        <w:t>На дорогах области за прошедшие сутки зарегистрировано 5 ДТП, в результате которых погибших нет, 6 человек травмировано.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 связи с неблагоприятными погодными условиям</w:t>
      </w:r>
      <w:r>
        <w:rPr>
          <w:rFonts w:ascii="Times New Roman" w:hAnsi="Times New Roman"/>
          <w:color w:val="000000"/>
          <w:sz w:val="26"/>
          <w:szCs w:val="26"/>
          <w:shd w:fill="auto" w:val="clear"/>
        </w:rPr>
        <w:t>и временно прекращено автобусное сообщение с 20 населенными пунктами по 4 маршрутам в Кыштовском районе.</w:t>
      </w:r>
    </w:p>
    <w:p>
      <w:pPr>
        <w:pStyle w:val="Normal"/>
        <w:tabs>
          <w:tab w:val="clear" w:pos="720"/>
          <w:tab w:val="left" w:pos="0" w:leader="none"/>
        </w:tabs>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Отрезанных населенных пунктов нет, сообщение осуществляется автомобилями повышенной проходимости.</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pPr>
      <w:r>
        <w:rPr>
          <w:rFonts w:ascii="Times New Roman" w:hAnsi="Times New Roman"/>
          <w:b/>
          <w:color w:val="000000"/>
          <w:sz w:val="26"/>
          <w:szCs w:val="26"/>
          <w:shd w:fill="auto" w:val="clear"/>
        </w:rPr>
        <w:t>2.1. Метеорологический прогноз.</w:t>
      </w:r>
    </w:p>
    <w:p>
      <w:pPr>
        <w:pStyle w:val="Normal"/>
        <w:ind w:firstLine="567"/>
        <w:jc w:val="both"/>
        <w:rPr/>
      </w:pPr>
      <w:r>
        <w:rPr>
          <w:rFonts w:ascii="Times New Roman" w:hAnsi="Times New Roman"/>
          <w:b w:val="false"/>
          <w:i w:val="false"/>
          <w:caps w:val="false"/>
          <w:smallCaps w:val="false"/>
          <w:color w:val="000000"/>
          <w:spacing w:val="0"/>
          <w:sz w:val="28"/>
          <w:szCs w:val="26"/>
          <w:shd w:fill="auto" w:val="clear"/>
        </w:rPr>
        <w:t>Переменная облачность, преимущественно без осадков. Ночью и утром в отдельных районах туманы</w:t>
      </w:r>
      <w:r>
        <w:rPr>
          <w:rFonts w:ascii="Times New Roman" w:hAnsi="Times New Roman"/>
          <w:color w:val="000000"/>
          <w:sz w:val="26"/>
          <w:szCs w:val="26"/>
          <w:shd w:fill="auto" w:val="clear"/>
        </w:rPr>
        <w:t>.</w:t>
      </w:r>
    </w:p>
    <w:p>
      <w:pPr>
        <w:pStyle w:val="Normal"/>
        <w:ind w:firstLine="567"/>
        <w:jc w:val="both"/>
        <w:rPr/>
      </w:pPr>
      <w:r>
        <w:rPr>
          <w:rFonts w:ascii="Times New Roman" w:hAnsi="Times New Roman"/>
          <w:b w:val="false"/>
          <w:i w:val="false"/>
          <w:caps w:val="false"/>
          <w:smallCaps w:val="false"/>
          <w:color w:val="000000"/>
          <w:spacing w:val="0"/>
          <w:sz w:val="28"/>
          <w:szCs w:val="26"/>
          <w:shd w:fill="auto" w:val="clear"/>
        </w:rPr>
        <w:t>Ветер северо-восточный: ночью 2-7 м/с, местами порывы до 12 м/с, днём 4-9 м/с, местами порывы до 15 м/с.</w:t>
      </w:r>
    </w:p>
    <w:p>
      <w:pPr>
        <w:pStyle w:val="Normal"/>
        <w:tabs>
          <w:tab w:val="clear" w:pos="720"/>
          <w:tab w:val="left" w:pos="0" w:leader="none"/>
        </w:tabs>
        <w:ind w:firstLine="567"/>
        <w:jc w:val="both"/>
        <w:rPr/>
      </w:pPr>
      <w:r>
        <w:rPr>
          <w:rFonts w:ascii="Times New Roman" w:hAnsi="Times New Roman"/>
          <w:color w:val="000000"/>
          <w:sz w:val="26"/>
          <w:szCs w:val="26"/>
          <w:shd w:fill="auto" w:val="clear"/>
        </w:rPr>
        <w:t>Температура воздуха ночью +5, +10°С,  местами до +15°С, днём +22, +27°С.</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2500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160 ± 10 см.</w:t>
      </w:r>
    </w:p>
    <w:p>
      <w:pPr>
        <w:pStyle w:val="Normal"/>
        <w:tabs>
          <w:tab w:val="clear" w:pos="720"/>
          <w:tab w:val="left" w:pos="0" w:leader="none"/>
        </w:tabs>
        <w:ind w:firstLine="567"/>
        <w:jc w:val="both"/>
        <w:rPr>
          <w:rFonts w:ascii="Times New Roman" w:hAnsi="Times New Roman"/>
          <w:sz w:val="26"/>
          <w:szCs w:val="26"/>
          <w:highlight w:val="none"/>
          <w:shd w:fill="auto" w:val="clear"/>
        </w:rPr>
      </w:pPr>
      <w:r>
        <w:rPr>
          <w:rFonts w:ascii="Times New Roman" w:hAnsi="Times New Roman"/>
          <w:sz w:val="26"/>
          <w:szCs w:val="26"/>
          <w:shd w:fill="auto"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 w:val="false"/>
          <w:bCs/>
          <w:i w:val="false"/>
          <w:caps w:val="false"/>
          <w:smallCaps w:val="false"/>
          <w:color w:val="000000"/>
          <w:spacing w:val="0"/>
          <w:sz w:val="28"/>
          <w:szCs w:val="26"/>
          <w:shd w:fill="auto" w:val="clear"/>
        </w:rPr>
        <w:t>Магнитное поле Земли возможно неустойчивое. Возможно ухудшение условий КВ-радиосвязи в отдельные часы суток. Общее содержание озона в озоновом слое в пределах нормы.</w:t>
      </w:r>
      <w:r>
        <w:rPr>
          <w:rFonts w:ascii="Times New Roman" w:hAnsi="Times New Roman"/>
          <w:bCs/>
          <w:color w:val="000000"/>
          <w:sz w:val="26"/>
          <w:szCs w:val="26"/>
          <w:shd w:fill="auto" w:val="clear"/>
        </w:rPr>
        <w:t xml:space="preserve"> </w:t>
      </w:r>
    </w:p>
    <w:p>
      <w:pPr>
        <w:pStyle w:val="Normal"/>
        <w:tabs>
          <w:tab w:val="clear" w:pos="720"/>
          <w:tab w:val="left" w:pos="0" w:leader="none"/>
        </w:tabs>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ind w:right="0" w:firstLine="567"/>
        <w:jc w:val="both"/>
        <w:rPr>
          <w:highlight w:val="none"/>
          <w:shd w:fill="auto" w:val="clear"/>
        </w:rPr>
      </w:pPr>
      <w:r>
        <w:rPr>
          <w:rFonts w:cs="Times New Roman" w:ascii="Times New Roman" w:hAnsi="Times New Roman"/>
          <w:color w:val="000000"/>
          <w:sz w:val="26"/>
          <w:szCs w:val="26"/>
          <w:shd w:fill="auto" w:val="clear"/>
        </w:rPr>
        <w:t>По данным ФГБУ «Западно-Сибирское УГМС» на территории Сузунского района сохранится высокая пожароопасность 4 класса, на остальной территории области прогнозируется пожароопасность преимущественно 2-го, в отдельных районах 1-го и 3-го классов.</w:t>
      </w:r>
    </w:p>
    <w:p>
      <w:pPr>
        <w:pStyle w:val="Normal"/>
        <w:ind w:firstLine="567"/>
        <w:jc w:val="both"/>
        <w:rPr/>
      </w:pPr>
      <w:r>
        <w:rPr>
          <w:rFonts w:ascii="Times New Roman" w:hAnsi="Times New Roman"/>
          <w:color w:val="000000"/>
          <w:sz w:val="26"/>
          <w:szCs w:val="26"/>
          <w:shd w:fill="auto" w:val="clear"/>
        </w:rPr>
        <w:t>Вероятность возникновения лесных и ландшафтных пожаров с риском перехода на населенные пункты низкая.</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ind w:firstLine="567"/>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b/>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Гидродинамические испытания проводятся на территории г. Новосибирска  по 29 июня включительно.</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прошедшими осадками возможно затруднение движения транспорта по грунтовым дорогам области.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pacing w:lineRule="auto" w:line="240"/>
        <w:jc w:val="center"/>
        <w:rPr>
          <w:rFonts w:ascii="Times New Roman" w:hAnsi="Times New Roman"/>
          <w:sz w:val="26"/>
          <w:szCs w:val="26"/>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sz w:val="26"/>
          <w:szCs w:val="26"/>
        </w:rPr>
      </w:pPr>
      <w:bookmarkStart w:id="0" w:name="_Hlk163747752"/>
      <w:bookmarkEnd w:id="0"/>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sz w:val="26"/>
          <w:szCs w:val="26"/>
        </w:rPr>
      </w:pPr>
      <w:r>
        <w:rPr>
          <w:rFonts w:ascii="Times New Roman" w:hAnsi="Times New Roman"/>
          <w:color w:val="000000"/>
          <w:sz w:val="26"/>
          <w:szCs w:val="26"/>
        </w:rPr>
        <w:t>(старший оперативный дежурный)</w:t>
      </w:r>
    </w:p>
    <w:p>
      <w:pPr>
        <w:pStyle w:val="Normal"/>
        <w:rPr>
          <w:rFonts w:ascii="Times New Roman" w:hAnsi="Times New Roman"/>
          <w:sz w:val="26"/>
          <w:szCs w:val="26"/>
        </w:rPr>
      </w:pPr>
      <w:r>
        <w:rPr>
          <w:rFonts w:ascii="Times New Roman" w:hAnsi="Times New Roman"/>
          <w:color w:val="000000"/>
          <w:sz w:val="26"/>
          <w:szCs w:val="26"/>
        </w:rPr>
        <w:t>ЦУКС ГУ МЧС России по Новосибир</w:t>
      </w:r>
      <w:r>
        <w:drawing>
          <wp:anchor behindDoc="1" distT="0" distB="0" distL="0" distR="0" simplePos="0" locked="0" layoutInCell="0" allowOverlap="1" relativeHeight="3">
            <wp:simplePos x="0" y="0"/>
            <wp:positionH relativeFrom="column">
              <wp:posOffset>2909570</wp:posOffset>
            </wp:positionH>
            <wp:positionV relativeFrom="paragraph">
              <wp:posOffset>187325</wp:posOffset>
            </wp:positionV>
            <wp:extent cx="1417320" cy="436880"/>
            <wp:effectExtent l="0" t="0" r="0" b="0"/>
            <wp:wrapNone/>
            <wp:docPr id="2"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7" descr=""/>
                    <pic:cNvPicPr>
                      <a:picLocks noChangeAspect="1" noChangeArrowheads="1"/>
                    </pic:cNvPicPr>
                  </pic:nvPicPr>
                  <pic:blipFill>
                    <a:blip r:embed="rId3"/>
                    <a:srcRect l="-127" t="-336" r="-127" b="-336"/>
                    <a:stretch>
                      <a:fillRect/>
                    </a:stretch>
                  </pic:blipFill>
                  <pic:spPr bwMode="auto">
                    <a:xfrm>
                      <a:off x="0" y="0"/>
                      <a:ext cx="1417320" cy="436880"/>
                    </a:xfrm>
                    <a:prstGeom prst="rect">
                      <a:avLst/>
                    </a:prstGeom>
                  </pic:spPr>
                </pic:pic>
              </a:graphicData>
            </a:graphic>
          </wp:anchor>
        </w:drawing>
      </w:r>
      <w:r>
        <w:rPr>
          <w:rFonts w:ascii="Times New Roman" w:hAnsi="Times New Roman"/>
          <w:color w:val="000000"/>
          <w:sz w:val="26"/>
          <w:szCs w:val="26"/>
        </w:rPr>
        <w:t>ской области</w:t>
      </w:r>
    </w:p>
    <w:p>
      <w:pPr>
        <w:pStyle w:val="Normal"/>
        <w:tabs>
          <w:tab w:val="clear" w:pos="720"/>
          <w:tab w:val="left" w:pos="7938" w:leader="none"/>
          <w:tab w:val="left" w:pos="8080" w:leader="none"/>
        </w:tabs>
        <w:jc w:val="both"/>
        <w:rPr>
          <w:rFonts w:ascii="Times New Roman" w:hAnsi="Times New Roman"/>
          <w:sz w:val="26"/>
          <w:szCs w:val="26"/>
        </w:rPr>
      </w:pPr>
      <w:r>
        <w:rPr>
          <w:rFonts w:ascii="Times New Roman" w:hAnsi="Times New Roman"/>
          <w:color w:val="000000"/>
          <w:sz w:val="26"/>
          <w:szCs w:val="26"/>
        </w:rPr>
        <w:t>подполковник вн. службы                                                                         А.М. Якутин</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color w:val="000000"/>
          <w:sz w:val="16"/>
          <w:szCs w:val="16"/>
        </w:rPr>
        <w:t>Исп. Горестов И.О.</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hanging="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hanging="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hanging="0"/>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noVBand="1" w:val="04a0" w:noHBand="0" w:lastColumn="0" w:firstColumn="1" w:lastRow="0" w:firstRow="1"/>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Liberation Mono">
    <w:altName w:val="Courier New"/>
    <w:charset w:val="01"/>
    <w:family w:val="roman"/>
    <w:pitch w:val="variable"/>
  </w:font>
  <w:font w:name="Lucida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3"/>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4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customStyle="1">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customStyle="1">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2"/>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BalloonText">
    <w:name w:val="Balloon Text"/>
    <w:basedOn w:val="Normal"/>
    <w:qFormat/>
    <w:pPr/>
    <w:rPr>
      <w:rFonts w:ascii="Tahoma" w:hAnsi="Tahoma" w:cs="Tahoma"/>
      <w:sz w:val="16"/>
      <w:szCs w:val="16"/>
    </w:rPr>
  </w:style>
  <w:style w:type="paragraph" w:styleId="Style27">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8">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29" w:customStyle="1">
    <w:name w:val="Колонтитул"/>
    <w:basedOn w:val="Normal"/>
    <w:qFormat/>
    <w:pPr/>
    <w:rPr/>
  </w:style>
  <w:style w:type="paragraph" w:styleId="Style30">
    <w:name w:val="Header"/>
    <w:basedOn w:val="Style29"/>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Indexheading">
    <w:name w:val="index heading"/>
    <w:basedOn w:val="Style31"/>
    <w:next w:val="Index1"/>
    <w:qFormat/>
    <w:pPr/>
    <w:rPr/>
  </w:style>
  <w:style w:type="paragraph" w:styleId="Style31">
    <w:name w:val="Title"/>
    <w:basedOn w:val="Normal"/>
    <w:next w:val="Style23"/>
    <w:link w:val="Style11"/>
    <w:uiPriority w:val="10"/>
    <w:qFormat/>
    <w:pPr>
      <w:spacing w:before="300" w:after="200"/>
      <w:contextualSpacing/>
    </w:pPr>
    <w:rPr>
      <w:sz w:val="48"/>
      <w:szCs w:val="48"/>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2">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3">
    <w:name w:val="Subtitle"/>
    <w:basedOn w:val="Normal"/>
    <w:next w:val="Normal"/>
    <w:link w:val="Style12"/>
    <w:uiPriority w:val="11"/>
    <w:qFormat/>
    <w:pPr>
      <w:spacing w:before="200" w:after="200"/>
    </w:pPr>
    <w:rPr>
      <w:sz w:val="2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4"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5"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1" w:customStyle="1">
    <w:name w:val="Указатель115"/>
    <w:basedOn w:val="Normal"/>
    <w:qFormat/>
    <w:pPr>
      <w:suppressLineNumbers/>
    </w:pPr>
    <w:rPr>
      <w:rFonts w:cs="Arial"/>
    </w:rPr>
  </w:style>
  <w:style w:type="paragraph" w:styleId="1141"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2"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13"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4" w:customStyle="1">
    <w:name w:val="Название объекта11"/>
    <w:basedOn w:val="Normal"/>
    <w:qFormat/>
    <w:pPr>
      <w:suppressLineNumbers/>
      <w:spacing w:before="120" w:after="120"/>
    </w:pPr>
    <w:rPr>
      <w:rFonts w:cs="Noto Sans Devanagari"/>
      <w:i/>
      <w:iCs/>
      <w:sz w:val="24"/>
    </w:rPr>
  </w:style>
  <w:style w:type="paragraph" w:styleId="1115"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413" w:customStyle="1">
    <w:name w:val="Название объекта4"/>
    <w:basedOn w:val="Normal"/>
    <w:qFormat/>
    <w:pPr>
      <w:suppressLineNumbers/>
      <w:spacing w:before="120" w:after="120"/>
    </w:pPr>
    <w:rPr>
      <w:rFonts w:cs="Noto Sans Devanagari"/>
      <w:i/>
      <w:iCs/>
      <w:sz w:val="24"/>
    </w:rPr>
  </w:style>
  <w:style w:type="paragraph" w:styleId="414"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4"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5" w:customStyle="1">
    <w:name w:val="Содержимое таблицы"/>
    <w:basedOn w:val="Normal"/>
    <w:qFormat/>
    <w:pPr>
      <w:widowControl w:val="false"/>
      <w:suppressLineNumbers/>
    </w:pPr>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5" w:customStyle="1">
    <w:name w:val="Стиль4"/>
    <w:basedOn w:val="Normal"/>
    <w:qFormat/>
    <w:pPr>
      <w:ind w:firstLine="567"/>
      <w:jc w:val="both"/>
    </w:pPr>
    <w:rPr>
      <w:color w:val="0000FF"/>
      <w:sz w:val="24"/>
    </w:rPr>
  </w:style>
  <w:style w:type="paragraph" w:styleId="Style38" w:customStyle="1">
    <w:name w:val="Арсенал"/>
    <w:basedOn w:val="Normal"/>
    <w:qFormat/>
    <w:pPr>
      <w:widowControl w:val="false"/>
      <w:jc w:val="both"/>
    </w:pPr>
    <w:rPr>
      <w:bCs/>
      <w:sz w:val="24"/>
    </w:rPr>
  </w:style>
  <w:style w:type="paragraph" w:styleId="225" w:customStyle="1">
    <w:name w:val="Основной текст с отступом 22"/>
    <w:basedOn w:val="Normal"/>
    <w:qFormat/>
    <w:pPr>
      <w:spacing w:lineRule="auto" w:line="480" w:before="0" w:after="120"/>
      <w:ind w:left="283" w:hanging="0"/>
    </w:pPr>
    <w:rPr>
      <w:rFonts w:eastAsia="Calibri"/>
      <w:sz w:val="24"/>
    </w:rPr>
  </w:style>
  <w:style w:type="paragraph" w:styleId="226" w:customStyle="1">
    <w:name w:val="Основной текст (2)"/>
    <w:basedOn w:val="Normal"/>
    <w:qFormat/>
    <w:pPr>
      <w:widowControl w:val="false"/>
      <w:shd w:val="clear" w:color="auto" w:fill="FFFFFF"/>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8"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6"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39" w:customStyle="1">
    <w:name w:val="Текст в заданном формате"/>
    <w:basedOn w:val="Normal"/>
    <w:qFormat/>
    <w:pPr/>
    <w:rPr>
      <w:rFonts w:ascii="Liberation Mono" w:hAnsi="Liberation Mono" w:eastAsia="Liberation Mono" w:cs="Liberation Mono"/>
      <w:sz w:val="20"/>
      <w:szCs w:val="20"/>
    </w:rPr>
  </w:style>
  <w:style w:type="paragraph" w:styleId="417"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4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2">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8301</TotalTime>
  <Application>LibreOffice/7.4.1.2$Linux_X86_64 LibreOffice_project/3c58a8f3a960df8bc8fd77b461821e42c061c5f0</Application>
  <AppVersion>15.0000</AppVersion>
  <Pages>24</Pages>
  <Words>4997</Words>
  <Characters>40990</Characters>
  <CharactersWithSpaces>45244</CharactersWithSpaces>
  <Paragraphs>902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2024-03-15T17:54:00Z</dcterms:created>
  <dc:creator>Gpn_gor3</dc:creator>
  <dc:description/>
  <dc:language>ru-RU</dc:language>
  <cp:lastModifiedBy/>
  <dcterms:modified xsi:type="dcterms:W3CDTF">2025-06-26T15:44:36Z</dcterms:modified>
  <cp:revision>3081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