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0ED8" w14:textId="77777777" w:rsidR="00FB3FD8" w:rsidRDefault="00FB3FD8">
      <w:pPr>
        <w:jc w:val="both"/>
        <w:rPr>
          <w:color w:val="000000"/>
          <w:sz w:val="28"/>
          <w:szCs w:val="28"/>
        </w:rPr>
      </w:pPr>
    </w:p>
    <w:p w14:paraId="5D995427" w14:textId="77777777" w:rsidR="00FB3FD8" w:rsidRDefault="00FB3FD8">
      <w:pPr>
        <w:jc w:val="both"/>
        <w:rPr>
          <w:color w:val="000000"/>
          <w:sz w:val="28"/>
          <w:szCs w:val="28"/>
        </w:rPr>
      </w:pPr>
    </w:p>
    <w:p w14:paraId="5E3E3448" w14:textId="77777777" w:rsidR="00FB3FD8" w:rsidRDefault="00075A5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13689F60" w14:textId="77777777" w:rsidR="00FB3FD8" w:rsidRDefault="00075A59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29.10.2024 г.</w:t>
      </w:r>
    </w:p>
    <w:p w14:paraId="2FB6EAF6" w14:textId="77777777" w:rsidR="00FB3FD8" w:rsidRDefault="00075A59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760A4FA" w14:textId="77777777" w:rsidR="00FB3FD8" w:rsidRDefault="00075A5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1A5DAD7" w14:textId="77777777" w:rsidR="00FB3FD8" w:rsidRDefault="00075A59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2C96A03" w14:textId="77777777" w:rsidR="00FB3FD8" w:rsidRDefault="00FB3FD8">
      <w:pPr>
        <w:outlineLvl w:val="0"/>
        <w:rPr>
          <w:color w:val="000000"/>
          <w:sz w:val="28"/>
          <w:szCs w:val="28"/>
        </w:rPr>
      </w:pPr>
    </w:p>
    <w:p w14:paraId="03F4AAF8" w14:textId="77777777" w:rsidR="00FB3FD8" w:rsidRDefault="00075A59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</w:t>
      </w:r>
      <w:r>
        <w:rPr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FB3FD8" w14:paraId="3624F135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C4F9036" w14:textId="77777777" w:rsidR="00FB3FD8" w:rsidRDefault="00075A59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35C4737" w14:textId="77777777" w:rsidR="00FB3FD8" w:rsidRDefault="00075A59">
            <w:pPr>
              <w:widowControl w:val="0"/>
              <w:ind w:left="-57"/>
              <w:jc w:val="center"/>
            </w:pPr>
            <w:r>
              <w:rPr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42464B35" w14:textId="77777777" w:rsidR="00FB3FD8" w:rsidRDefault="00FB3FD8">
      <w:pPr>
        <w:jc w:val="both"/>
        <w:rPr>
          <w:sz w:val="28"/>
          <w:szCs w:val="28"/>
          <w:highlight w:val="yellow"/>
        </w:rPr>
      </w:pPr>
    </w:p>
    <w:p w14:paraId="1DBFF8A3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8B24A85" w14:textId="77777777" w:rsidR="00FB3FD8" w:rsidRDefault="00075A59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1AE1D132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sz w:val="28"/>
          <w:szCs w:val="28"/>
        </w:rPr>
        <w:t>неблагоприятными метеорологическими явлениями, не зарегистрировано.</w:t>
      </w:r>
    </w:p>
    <w:p w14:paraId="64232ED3" w14:textId="77777777" w:rsidR="00FB3FD8" w:rsidRDefault="00FB3FD8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34C82F51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7ECC0805" w14:textId="77777777" w:rsidR="00FB3FD8" w:rsidRDefault="00075A59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745CA099" w14:textId="77777777" w:rsidR="00FB3FD8" w:rsidRDefault="00075A59">
      <w:pPr>
        <w:ind w:firstLine="567"/>
        <w:jc w:val="both"/>
      </w:pPr>
      <w:r>
        <w:rPr>
          <w:iCs/>
          <w:color w:val="000000"/>
          <w:sz w:val="28"/>
          <w:szCs w:val="28"/>
        </w:rPr>
        <w:t xml:space="preserve">По данным КЛМС 'Искитим' в гг. Искитим и Бердск превышений ПДК нет. </w:t>
      </w:r>
    </w:p>
    <w:p w14:paraId="208A064B" w14:textId="77777777" w:rsidR="00FB3FD8" w:rsidRDefault="00FB3FD8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6A2036B2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</w:t>
      </w:r>
      <w:r>
        <w:rPr>
          <w:b/>
          <w:sz w:val="28"/>
          <w:szCs w:val="28"/>
        </w:rPr>
        <w:t>ая обстановка.</w:t>
      </w:r>
    </w:p>
    <w:p w14:paraId="70DF477E" w14:textId="77777777" w:rsidR="00FB3FD8" w:rsidRDefault="00075A59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40C69E24" w14:textId="77777777" w:rsidR="00FB3FD8" w:rsidRDefault="00FB3FD8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1EAD9E2D" w14:textId="77777777" w:rsidR="00FB3FD8" w:rsidRDefault="00075A59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0599E8B0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сутки не пр</w:t>
      </w:r>
      <w:r>
        <w:rPr>
          <w:sz w:val="28"/>
          <w:szCs w:val="28"/>
        </w:rPr>
        <w:t>оизошло.</w:t>
      </w:r>
    </w:p>
    <w:p w14:paraId="7C804E39" w14:textId="77777777" w:rsidR="00FB3FD8" w:rsidRDefault="00FB3FD8">
      <w:pPr>
        <w:ind w:firstLine="567"/>
        <w:jc w:val="both"/>
        <w:rPr>
          <w:highlight w:val="yellow"/>
        </w:rPr>
      </w:pPr>
    </w:p>
    <w:p w14:paraId="6145D9F0" w14:textId="77777777" w:rsidR="00FB3FD8" w:rsidRDefault="00FB3FD8">
      <w:pPr>
        <w:ind w:firstLine="567"/>
        <w:jc w:val="both"/>
        <w:rPr>
          <w:highlight w:val="yellow"/>
        </w:rPr>
      </w:pPr>
    </w:p>
    <w:p w14:paraId="4FC6C87E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180670BA" w14:textId="77777777" w:rsidR="00FB3FD8" w:rsidRDefault="00075A59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113,36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1090 м³/с, приток 1210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г. Новос</w:t>
      </w:r>
      <w:r>
        <w:rPr>
          <w:bCs/>
          <w:color w:val="000000"/>
          <w:sz w:val="28"/>
          <w:szCs w:val="28"/>
        </w:rPr>
        <w:t>ибирск находится на отметке -2 см.</w:t>
      </w:r>
    </w:p>
    <w:p w14:paraId="4A1F5913" w14:textId="77777777" w:rsidR="00FB3FD8" w:rsidRDefault="00FB3FD8">
      <w:pPr>
        <w:ind w:firstLine="567"/>
        <w:jc w:val="both"/>
        <w:rPr>
          <w:b/>
          <w:bCs/>
          <w:sz w:val="28"/>
          <w:szCs w:val="28"/>
          <w:highlight w:val="yellow"/>
          <w:shd w:val="clear" w:color="auto" w:fill="FFFF00"/>
        </w:rPr>
      </w:pPr>
    </w:p>
    <w:p w14:paraId="2FA90F03" w14:textId="77777777" w:rsidR="00FB3FD8" w:rsidRDefault="00075A59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03B1A928" w14:textId="77777777" w:rsidR="00FB3FD8" w:rsidRDefault="00075A59">
      <w:pPr>
        <w:ind w:firstLine="567"/>
        <w:jc w:val="both"/>
      </w:pPr>
      <w:r>
        <w:rPr>
          <w:rStyle w:val="10"/>
          <w:bCs/>
          <w:color w:val="000000"/>
          <w:sz w:val="28"/>
          <w:szCs w:val="28"/>
        </w:rPr>
        <w:t>По данным ФГБУ «</w:t>
      </w:r>
      <w:proofErr w:type="spellStart"/>
      <w:r>
        <w:rPr>
          <w:rStyle w:val="10"/>
          <w:bCs/>
          <w:color w:val="000000"/>
          <w:sz w:val="28"/>
          <w:szCs w:val="28"/>
        </w:rPr>
        <w:t>Западно</w:t>
      </w:r>
      <w:proofErr w:type="spellEnd"/>
      <w:r>
        <w:rPr>
          <w:rStyle w:val="10"/>
          <w:bCs/>
          <w:color w:val="000000"/>
          <w:sz w:val="28"/>
          <w:szCs w:val="28"/>
        </w:rPr>
        <w:t xml:space="preserve"> - Сибирское УГМС», в Новосибирской области на территории </w:t>
      </w:r>
      <w:proofErr w:type="spellStart"/>
      <w:r>
        <w:rPr>
          <w:rStyle w:val="10"/>
          <w:bCs/>
          <w:color w:val="000000"/>
          <w:sz w:val="28"/>
          <w:szCs w:val="28"/>
        </w:rPr>
        <w:t>Здвинского</w:t>
      </w:r>
      <w:proofErr w:type="spellEnd"/>
      <w:r>
        <w:rPr>
          <w:rStyle w:val="10"/>
          <w:bCs/>
          <w:color w:val="000000"/>
          <w:sz w:val="28"/>
          <w:szCs w:val="28"/>
        </w:rPr>
        <w:t xml:space="preserve"> района сохраняется высокая пожароопасность 4 класса, на остальной территории – </w:t>
      </w:r>
      <w:r>
        <w:rPr>
          <w:rStyle w:val="10"/>
          <w:bCs/>
          <w:color w:val="000000"/>
          <w:sz w:val="28"/>
          <w:szCs w:val="28"/>
        </w:rPr>
        <w:t>пожароопасность 1-го класса.</w:t>
      </w:r>
    </w:p>
    <w:p w14:paraId="51B30672" w14:textId="77777777" w:rsidR="00FB3FD8" w:rsidRDefault="00075A59">
      <w:pPr>
        <w:pStyle w:val="1f6"/>
        <w:ind w:firstLine="567"/>
        <w:jc w:val="both"/>
      </w:pPr>
      <w:r>
        <w:rPr>
          <w:bCs/>
          <w:iCs/>
          <w:color w:val="000000"/>
          <w:spacing w:val="-6"/>
          <w:sz w:val="26"/>
          <w:szCs w:val="26"/>
        </w:rPr>
        <w:t xml:space="preserve">По данным космического мониторинга за сутки на территории области термических точек не зафиксировано (АППГ - 2, из них в 5-ти километровой зоне - 2). </w:t>
      </w:r>
    </w:p>
    <w:p w14:paraId="5C0B35FA" w14:textId="77777777" w:rsidR="00FB3FD8" w:rsidRDefault="00075A59">
      <w:pPr>
        <w:pStyle w:val="1f6"/>
        <w:ind w:firstLine="567"/>
        <w:jc w:val="both"/>
      </w:pPr>
      <w:r>
        <w:rPr>
          <w:bCs/>
          <w:iCs/>
          <w:color w:val="000000"/>
          <w:spacing w:val="-6"/>
          <w:sz w:val="26"/>
          <w:szCs w:val="26"/>
        </w:rPr>
        <w:t>Всего с начала года зарегистрировано 1044 термических точек (АППГ - 8429), и</w:t>
      </w:r>
      <w:r>
        <w:rPr>
          <w:bCs/>
          <w:iCs/>
          <w:color w:val="000000"/>
          <w:spacing w:val="-6"/>
          <w:sz w:val="26"/>
          <w:szCs w:val="26"/>
        </w:rPr>
        <w:t>з них в 5-ти километровой зоне - 858 (АППГ - 5285)</w:t>
      </w:r>
      <w:r>
        <w:rPr>
          <w:rStyle w:val="10"/>
          <w:bCs/>
          <w:iCs/>
          <w:color w:val="000000"/>
          <w:spacing w:val="-6"/>
          <w:sz w:val="26"/>
          <w:szCs w:val="26"/>
        </w:rPr>
        <w:t>.</w:t>
      </w:r>
    </w:p>
    <w:p w14:paraId="3522AD9C" w14:textId="77777777" w:rsidR="00FB3FD8" w:rsidRDefault="00FB3FD8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0E6B01D5" w14:textId="77777777" w:rsidR="00FB3FD8" w:rsidRDefault="00075A59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3A31F8C9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Стабильная.</w:t>
      </w:r>
    </w:p>
    <w:p w14:paraId="2A21F789" w14:textId="77777777" w:rsidR="00FB3FD8" w:rsidRDefault="00FB3FD8">
      <w:pPr>
        <w:ind w:firstLine="567"/>
        <w:jc w:val="both"/>
        <w:rPr>
          <w:b/>
          <w:color w:val="000000"/>
          <w:sz w:val="28"/>
          <w:szCs w:val="28"/>
        </w:rPr>
      </w:pPr>
    </w:p>
    <w:p w14:paraId="7422054E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58326690" w14:textId="77777777" w:rsidR="00FB3FD8" w:rsidRDefault="00075A59">
      <w:pPr>
        <w:pStyle w:val="aff7"/>
      </w:pPr>
      <w:r>
        <w:rPr>
          <w:rFonts w:ascii="Times New Roman" w:hAnsi="Times New Roman" w:cs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 w14:paraId="20958B70" w14:textId="77777777" w:rsidR="00FB3FD8" w:rsidRDefault="00FB3FD8">
      <w:pPr>
        <w:ind w:firstLine="567"/>
        <w:jc w:val="both"/>
        <w:rPr>
          <w:bCs/>
          <w:sz w:val="28"/>
          <w:szCs w:val="28"/>
        </w:rPr>
      </w:pPr>
    </w:p>
    <w:p w14:paraId="24131B76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0C113432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0B0C09BB" w14:textId="77777777" w:rsidR="00FB3FD8" w:rsidRDefault="00FB3FD8">
      <w:pPr>
        <w:ind w:firstLine="567"/>
        <w:jc w:val="both"/>
        <w:rPr>
          <w:shd w:val="clear" w:color="auto" w:fill="FFFF00"/>
        </w:rPr>
      </w:pPr>
    </w:p>
    <w:p w14:paraId="67DDFAD0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49EBDA06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 w14:paraId="7817F78F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</w:t>
      </w:r>
      <w:r>
        <w:rPr>
          <w:color w:val="000000"/>
          <w:sz w:val="28"/>
          <w:szCs w:val="28"/>
        </w:rPr>
        <w:t>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4A8131EB" w14:textId="77777777" w:rsidR="00FB3FD8" w:rsidRDefault="00FB3FD8">
      <w:pPr>
        <w:ind w:firstLine="567"/>
        <w:jc w:val="both"/>
        <w:rPr>
          <w:highlight w:val="yellow"/>
          <w:shd w:val="clear" w:color="auto" w:fill="FFFF00"/>
        </w:rPr>
      </w:pPr>
    </w:p>
    <w:p w14:paraId="5964DFB5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1.10. Пожарная обстановка.</w:t>
      </w:r>
    </w:p>
    <w:p w14:paraId="0DE70CB5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12 пожаров,</w:t>
      </w:r>
      <w:r>
        <w:rPr>
          <w:color w:val="000000"/>
          <w:sz w:val="28"/>
          <w:szCs w:val="28"/>
        </w:rPr>
        <w:t xml:space="preserve"> из них 9 в жилом секторе, в результате которых погибших и травмированных нет.</w:t>
      </w:r>
    </w:p>
    <w:p w14:paraId="73DF2915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533806B6" w14:textId="77777777" w:rsidR="00FB3FD8" w:rsidRDefault="00FB3FD8">
      <w:pPr>
        <w:ind w:firstLine="567"/>
        <w:jc w:val="both"/>
        <w:rPr>
          <w:b/>
          <w:color w:val="FF0000"/>
          <w:sz w:val="28"/>
          <w:szCs w:val="28"/>
          <w:highlight w:val="yellow"/>
          <w:shd w:val="clear" w:color="auto" w:fill="FFFF00"/>
        </w:rPr>
      </w:pPr>
    </w:p>
    <w:p w14:paraId="2766462A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199E8F21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72E59E9B" w14:textId="77777777" w:rsidR="00FB3FD8" w:rsidRDefault="00FB3FD8">
      <w:pPr>
        <w:ind w:firstLine="567"/>
        <w:jc w:val="both"/>
        <w:rPr>
          <w:highlight w:val="yellow"/>
        </w:rPr>
      </w:pPr>
    </w:p>
    <w:p w14:paraId="6E02944C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74000857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04CDEA0" w14:textId="77777777" w:rsidR="00FB3FD8" w:rsidRDefault="00FB3FD8">
      <w:pPr>
        <w:ind w:firstLine="567"/>
        <w:jc w:val="both"/>
        <w:rPr>
          <w:highlight w:val="yellow"/>
        </w:rPr>
      </w:pPr>
    </w:p>
    <w:p w14:paraId="6005850D" w14:textId="77777777" w:rsidR="00FB3FD8" w:rsidRDefault="00FB3FD8">
      <w:pPr>
        <w:ind w:firstLine="567"/>
        <w:jc w:val="both"/>
        <w:rPr>
          <w:highlight w:val="yellow"/>
        </w:rPr>
      </w:pPr>
    </w:p>
    <w:p w14:paraId="4ECE3743" w14:textId="77777777" w:rsidR="00FB3FD8" w:rsidRDefault="00FB3FD8">
      <w:pPr>
        <w:ind w:firstLine="567"/>
        <w:jc w:val="both"/>
        <w:rPr>
          <w:highlight w:val="yellow"/>
        </w:rPr>
      </w:pPr>
    </w:p>
    <w:p w14:paraId="582AE2A0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14:paraId="0044F370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 xml:space="preserve">За прошедшие сутки на </w:t>
      </w:r>
      <w:r>
        <w:rPr>
          <w:color w:val="000000"/>
          <w:sz w:val="28"/>
          <w:szCs w:val="28"/>
        </w:rPr>
        <w:t>водных объектах области происшествий не зарегистрировано.</w:t>
      </w:r>
    </w:p>
    <w:p w14:paraId="703BC4F5" w14:textId="77777777" w:rsidR="00FB3FD8" w:rsidRDefault="00FB3FD8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14:paraId="3FFFF0D4" w14:textId="77777777" w:rsidR="00FB3FD8" w:rsidRDefault="00075A59">
      <w:pPr>
        <w:ind w:firstLine="567"/>
        <w:jc w:val="both"/>
      </w:pPr>
      <w:r>
        <w:rPr>
          <w:b/>
          <w:color w:val="000000"/>
          <w:sz w:val="28"/>
          <w:szCs w:val="28"/>
        </w:rPr>
        <w:t>1.14. Обстановка на дорогах.</w:t>
      </w:r>
    </w:p>
    <w:p w14:paraId="58C6C69D" w14:textId="77777777" w:rsidR="00FB3FD8" w:rsidRDefault="00075A59">
      <w:pPr>
        <w:ind w:firstLine="567"/>
        <w:jc w:val="both"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1 человек погиб, 11 человек травмировано.</w:t>
      </w:r>
    </w:p>
    <w:p w14:paraId="5CBE4774" w14:textId="77777777" w:rsidR="00FB3FD8" w:rsidRDefault="00075A59">
      <w:pPr>
        <w:pStyle w:val="1f6"/>
        <w:tabs>
          <w:tab w:val="left" w:pos="0"/>
        </w:tabs>
        <w:ind w:firstLine="567"/>
        <w:jc w:val="both"/>
      </w:pPr>
      <w:r>
        <w:rPr>
          <w:rFonts w:cs="Arial"/>
          <w:sz w:val="26"/>
          <w:szCs w:val="26"/>
        </w:rPr>
        <w:t>Авто</w:t>
      </w:r>
      <w:r>
        <w:rPr>
          <w:rFonts w:cs="Arial"/>
          <w:color w:val="000000"/>
          <w:sz w:val="26"/>
          <w:szCs w:val="26"/>
        </w:rPr>
        <w:t>мобильные дороги в проезжем состоянии.</w:t>
      </w:r>
    </w:p>
    <w:p w14:paraId="0AC825DB" w14:textId="77777777" w:rsidR="00FB3FD8" w:rsidRDefault="00FB3FD8">
      <w:pPr>
        <w:ind w:firstLine="567"/>
        <w:jc w:val="both"/>
        <w:rPr>
          <w:highlight w:val="yellow"/>
          <w:shd w:val="clear" w:color="auto" w:fill="FFFF00"/>
        </w:rPr>
      </w:pPr>
    </w:p>
    <w:p w14:paraId="3B60E793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0FA0C1E8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53B8A0B" w14:textId="77777777" w:rsidR="00FB3FD8" w:rsidRDefault="00075A59">
      <w:pPr>
        <w:ind w:firstLine="567"/>
        <w:jc w:val="both"/>
      </w:pPr>
      <w:r>
        <w:rPr>
          <w:bCs/>
          <w:color w:val="000000"/>
          <w:sz w:val="28"/>
          <w:szCs w:val="28"/>
        </w:rPr>
        <w:t>Облачно, ночью осадки в виде дождя и мокрого снега, местами сильные, днём небольшие, местами умеренные осадки в виде дождя и мокрого снега. Местами туманы, гололедные явле</w:t>
      </w:r>
      <w:r>
        <w:rPr>
          <w:bCs/>
          <w:color w:val="000000"/>
          <w:sz w:val="28"/>
          <w:szCs w:val="28"/>
        </w:rPr>
        <w:t>ния. Установление временного снежного покрова.</w:t>
      </w:r>
    </w:p>
    <w:p w14:paraId="782B9AA4" w14:textId="77777777" w:rsidR="00FB3FD8" w:rsidRDefault="00075A59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ночью северный, днём северо-западный, 4-9 м/с, местами порывы</w:t>
      </w:r>
      <w:r>
        <w:rPr>
          <w:bCs/>
          <w:color w:val="000000"/>
          <w:sz w:val="28"/>
          <w:szCs w:val="28"/>
        </w:rPr>
        <w:br/>
        <w:t>до 14 м/с.</w:t>
      </w:r>
    </w:p>
    <w:p w14:paraId="3BD86CD4" w14:textId="77777777" w:rsidR="00FB3FD8" w:rsidRDefault="00075A59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Температура воздуха ночью 0, +5 °С, местами до -5 °С, днём +1, +6 °С.</w:t>
      </w:r>
    </w:p>
    <w:p w14:paraId="78D3E68A" w14:textId="77777777" w:rsidR="00FB3FD8" w:rsidRDefault="00FB3FD8">
      <w:pPr>
        <w:ind w:firstLine="567"/>
        <w:jc w:val="both"/>
        <w:rPr>
          <w:highlight w:val="yellow"/>
          <w:shd w:val="clear" w:color="auto" w:fill="FFFF00"/>
        </w:rPr>
      </w:pPr>
    </w:p>
    <w:p w14:paraId="7440410E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14:paraId="600C98EA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не буду</w:t>
      </w:r>
      <w:r>
        <w:rPr>
          <w:color w:val="000000"/>
          <w:sz w:val="28"/>
          <w:szCs w:val="28"/>
          <w:lang w:eastAsia="ru-RU"/>
        </w:rPr>
        <w:t>т способствовать накоплению вредных примесей в воздухе города. Общий уровень загрязнения сохранится пониженный.</w:t>
      </w:r>
    </w:p>
    <w:p w14:paraId="5E533953" w14:textId="77777777" w:rsidR="00FB3FD8" w:rsidRDefault="00FB3FD8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39CB09B5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3D403574" w14:textId="77777777" w:rsidR="00FB3FD8" w:rsidRDefault="00075A59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34F6EAB" w14:textId="77777777" w:rsidR="00FB3FD8" w:rsidRDefault="00075A59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Новосибирская ГЭС раб</w:t>
      </w:r>
      <w:r>
        <w:rPr>
          <w:color w:val="000000"/>
          <w:sz w:val="28"/>
          <w:szCs w:val="28"/>
        </w:rPr>
        <w:t xml:space="preserve">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 w14:paraId="7955738E" w14:textId="77777777" w:rsidR="00FB3FD8" w:rsidRDefault="00FB3FD8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5E3EFBD4" w14:textId="77777777" w:rsidR="00FB3FD8" w:rsidRDefault="00075A59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314FEDED" w14:textId="77777777" w:rsidR="00FB3FD8" w:rsidRDefault="00075A59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Магнитное поле Земли </w:t>
      </w:r>
      <w:r>
        <w:rPr>
          <w:color w:val="000000"/>
          <w:sz w:val="28"/>
          <w:szCs w:val="28"/>
        </w:rPr>
        <w:t>возможно слабо возмущенное. Ухудшение условий КВ-радиосвязи возможно в отдельные часы суток. Общее содержание озона в озоновом слое в норме.</w:t>
      </w:r>
    </w:p>
    <w:p w14:paraId="626764E1" w14:textId="77777777" w:rsidR="00FB3FD8" w:rsidRDefault="00FB3FD8">
      <w:pPr>
        <w:ind w:firstLine="567"/>
        <w:jc w:val="both"/>
        <w:rPr>
          <w:sz w:val="28"/>
          <w:szCs w:val="28"/>
          <w:highlight w:val="yellow"/>
        </w:rPr>
      </w:pPr>
    </w:p>
    <w:p w14:paraId="3395E607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18A66FAA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</w:t>
      </w:r>
      <w:proofErr w:type="spellEnd"/>
      <w:r>
        <w:rPr>
          <w:color w:val="000000"/>
          <w:sz w:val="28"/>
          <w:szCs w:val="28"/>
        </w:rPr>
        <w:t xml:space="preserve"> - Сибирское УГМС», на территории Новосибирской област</w:t>
      </w:r>
      <w:r>
        <w:rPr>
          <w:color w:val="000000"/>
          <w:sz w:val="28"/>
          <w:szCs w:val="28"/>
        </w:rPr>
        <w:t>и прогнозируется пожароопасность 1-го класса.</w:t>
      </w:r>
    </w:p>
    <w:p w14:paraId="44168D6C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Возникновение лесных и ландшафтных пожаров, в том числе с риском перехода на населенные пункты маловероятно.</w:t>
      </w:r>
    </w:p>
    <w:p w14:paraId="303C38B5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</w:t>
      </w:r>
      <w:r>
        <w:rPr>
          <w:sz w:val="28"/>
          <w:szCs w:val="28"/>
        </w:rPr>
        <w:t>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115854BE" w14:textId="77777777" w:rsidR="00FB3FD8" w:rsidRDefault="00FB3FD8">
      <w:pPr>
        <w:ind w:firstLine="567"/>
        <w:jc w:val="both"/>
        <w:rPr>
          <w:sz w:val="28"/>
          <w:szCs w:val="28"/>
          <w:highlight w:val="yellow"/>
        </w:rPr>
      </w:pPr>
    </w:p>
    <w:p w14:paraId="04B7C076" w14:textId="77777777" w:rsidR="00FB3FD8" w:rsidRDefault="00075A59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185F34A1" w14:textId="77777777" w:rsidR="00FB3FD8" w:rsidRDefault="00075A59">
      <w:pPr>
        <w:ind w:firstLine="567"/>
      </w:pPr>
      <w:r>
        <w:rPr>
          <w:sz w:val="28"/>
          <w:szCs w:val="28"/>
        </w:rPr>
        <w:t>ЧС, вызванные сейсмической активностью, малов</w:t>
      </w:r>
      <w:r>
        <w:rPr>
          <w:sz w:val="28"/>
          <w:szCs w:val="28"/>
        </w:rPr>
        <w:t>ероятны.</w:t>
      </w:r>
    </w:p>
    <w:p w14:paraId="1772BC16" w14:textId="77777777" w:rsidR="00FB3FD8" w:rsidRDefault="00FB3FD8">
      <w:pPr>
        <w:ind w:firstLine="567"/>
        <w:rPr>
          <w:sz w:val="28"/>
          <w:szCs w:val="28"/>
        </w:rPr>
      </w:pPr>
    </w:p>
    <w:p w14:paraId="27A6694B" w14:textId="77777777" w:rsidR="00FB3FD8" w:rsidRDefault="00075A59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362218CB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551E0693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>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BEF25A4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Возможен сезонный рост заболев</w:t>
      </w:r>
      <w:r>
        <w:rPr>
          <w:sz w:val="28"/>
          <w:szCs w:val="28"/>
        </w:rPr>
        <w:t>аемости населения ОРВИ.</w:t>
      </w:r>
    </w:p>
    <w:p w14:paraId="20840887" w14:textId="77777777" w:rsidR="00FB3FD8" w:rsidRDefault="00FB3FD8">
      <w:pPr>
        <w:ind w:firstLine="567"/>
        <w:jc w:val="both"/>
        <w:rPr>
          <w:sz w:val="28"/>
          <w:szCs w:val="28"/>
          <w:shd w:val="clear" w:color="auto" w:fill="FFFF00"/>
          <w:lang w:eastAsia="ar-SA"/>
        </w:rPr>
      </w:pPr>
    </w:p>
    <w:p w14:paraId="0447F7F1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57FF844F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14:paraId="0083A78A" w14:textId="77777777" w:rsidR="00FB3FD8" w:rsidRDefault="00FB3FD8">
      <w:pPr>
        <w:ind w:firstLine="567"/>
        <w:jc w:val="both"/>
        <w:rPr>
          <w:sz w:val="28"/>
          <w:szCs w:val="28"/>
          <w:highlight w:val="yellow"/>
        </w:rPr>
      </w:pPr>
    </w:p>
    <w:p w14:paraId="55BF0EA1" w14:textId="77777777" w:rsidR="00FB3FD8" w:rsidRDefault="00075A59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</w:t>
      </w:r>
      <w:r>
        <w:rPr>
          <w:b/>
          <w:sz w:val="28"/>
          <w:szCs w:val="28"/>
        </w:rPr>
        <w:t>бстановки.</w:t>
      </w:r>
    </w:p>
    <w:p w14:paraId="1DA12ADB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</w:t>
      </w:r>
      <w:r>
        <w:rPr>
          <w:color w:val="000000"/>
          <w:sz w:val="28"/>
          <w:szCs w:val="28"/>
        </w:rPr>
        <w:lastRenderedPageBreak/>
        <w:t xml:space="preserve">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</w:t>
      </w:r>
      <w:r>
        <w:rPr>
          <w:sz w:val="28"/>
          <w:szCs w:val="28"/>
        </w:rPr>
        <w:t>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4AF5D5DF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</w:t>
      </w:r>
      <w:r>
        <w:rPr>
          <w:sz w:val="28"/>
          <w:szCs w:val="28"/>
        </w:rPr>
        <w:t>ия с огнем, в том числе при курении.</w:t>
      </w:r>
    </w:p>
    <w:p w14:paraId="541A9C55" w14:textId="77777777" w:rsidR="00FB3FD8" w:rsidRDefault="00FB3FD8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BEC5E4B" w14:textId="77777777" w:rsidR="00FB3FD8" w:rsidRDefault="00075A59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2.10. Прогноз обстановки на объектах энергетики.</w:t>
      </w:r>
    </w:p>
    <w:p w14:paraId="55EA2EEC" w14:textId="77777777" w:rsidR="00FB3FD8" w:rsidRDefault="00075A5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1416FF1C" w14:textId="77777777" w:rsidR="00FB3FD8" w:rsidRDefault="00FB3FD8">
      <w:pPr>
        <w:ind w:firstLine="567"/>
        <w:jc w:val="both"/>
        <w:rPr>
          <w:shd w:val="clear" w:color="auto" w:fill="FFFF00"/>
        </w:rPr>
      </w:pPr>
    </w:p>
    <w:p w14:paraId="514593D0" w14:textId="77777777" w:rsidR="00FB3FD8" w:rsidRDefault="00075A59">
      <w:pPr>
        <w:ind w:firstLine="567"/>
        <w:jc w:val="both"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754466B4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14:paraId="5C2506EB" w14:textId="77777777" w:rsidR="00FB3FD8" w:rsidRDefault="00075A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</w:t>
      </w:r>
      <w:r>
        <w:rPr>
          <w:sz w:val="28"/>
          <w:szCs w:val="28"/>
        </w:rPr>
        <w:t xml:space="preserve">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Тогучинском,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14:paraId="13874535" w14:textId="77777777" w:rsidR="00FB3FD8" w:rsidRDefault="0007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В связи с установлением временного снежного покрова возможен риск травмирования людей на пешеходных коммуникациях населённых пунктов.</w:t>
      </w:r>
    </w:p>
    <w:p w14:paraId="4776C1F1" w14:textId="77777777" w:rsidR="00FB3FD8" w:rsidRDefault="00FB3FD8">
      <w:pPr>
        <w:ind w:firstLine="567"/>
        <w:jc w:val="both"/>
        <w:rPr>
          <w:highlight w:val="yellow"/>
        </w:rPr>
      </w:pPr>
    </w:p>
    <w:p w14:paraId="31FB2387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0A8EB7E1" w14:textId="77777777" w:rsidR="00FB3FD8" w:rsidRDefault="00075A59">
      <w:pPr>
        <w:ind w:firstLine="567"/>
        <w:jc w:val="both"/>
        <w:rPr>
          <w:shd w:val="clear" w:color="auto" w:fill="FFFF00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</w:t>
      </w:r>
      <w:r>
        <w:rPr>
          <w:sz w:val="28"/>
          <w:szCs w:val="28"/>
        </w:rPr>
        <w:t>х объектах, связанных с несоблюдением правил поведения на водоемах,</w:t>
      </w:r>
      <w:r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</w:t>
      </w:r>
      <w:r>
        <w:rPr>
          <w:sz w:val="28"/>
          <w:szCs w:val="28"/>
        </w:rPr>
        <w:t xml:space="preserve">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2030F14E" w14:textId="77777777" w:rsidR="00FB3FD8" w:rsidRDefault="00FB3FD8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0A60A84" w14:textId="77777777" w:rsidR="00FB3FD8" w:rsidRDefault="00FB3FD8">
      <w:pPr>
        <w:ind w:firstLine="567"/>
        <w:jc w:val="both"/>
        <w:rPr>
          <w:b/>
          <w:sz w:val="28"/>
          <w:szCs w:val="28"/>
        </w:rPr>
      </w:pPr>
    </w:p>
    <w:p w14:paraId="4CEE20E0" w14:textId="77777777" w:rsidR="00FB3FD8" w:rsidRDefault="00075A59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дорогах.</w:t>
      </w:r>
    </w:p>
    <w:p w14:paraId="667010AF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Осадки в виде дождя переходящие в снег, мокрый снег, установление временного снежного покрова, туманы, большое количество автотранспорта, проведение ремонтных работ дорожного</w:t>
      </w:r>
      <w:r>
        <w:rPr>
          <w:color w:val="000000"/>
          <w:sz w:val="28"/>
          <w:szCs w:val="28"/>
        </w:rPr>
        <w:t xml:space="preserve">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</w:t>
      </w:r>
      <w:r>
        <w:rPr>
          <w:sz w:val="28"/>
          <w:szCs w:val="28"/>
        </w:rPr>
        <w:t>ения, нерегулируемых железнодорожных переездах и потенциально опасных участках федеральных и территориальных трасс:</w:t>
      </w:r>
    </w:p>
    <w:p w14:paraId="743CE535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протяженность 0,165 км, пересечение с железнодорожными</w:t>
      </w:r>
      <w:r>
        <w:rPr>
          <w:color w:val="000000"/>
          <w:sz w:val="28"/>
          <w:szCs w:val="28"/>
        </w:rPr>
        <w:t xml:space="preserve">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5F322813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2384AA1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</w:t>
      </w:r>
      <w:r>
        <w:rPr>
          <w:color w:val="000000"/>
          <w:sz w:val="28"/>
          <w:szCs w:val="28"/>
        </w:rPr>
        <w:t>сть 0,693 км, опасный поворот);</w:t>
      </w:r>
    </w:p>
    <w:p w14:paraId="6493C147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136AA2E1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</w:t>
      </w:r>
      <w:r>
        <w:rPr>
          <w:color w:val="000000"/>
          <w:sz w:val="28"/>
          <w:szCs w:val="28"/>
        </w:rPr>
        <w:t>ск (подъём));</w:t>
      </w:r>
    </w:p>
    <w:p w14:paraId="7CF73C4B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33D1100B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76614724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0CF3256B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66EF3EBA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03466301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3E50D363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71,418 км по 72,788 км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3DCA5562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163A67F9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</w:t>
      </w:r>
      <w:r>
        <w:rPr>
          <w:color w:val="000000"/>
          <w:sz w:val="28"/>
          <w:szCs w:val="28"/>
        </w:rPr>
        <w:t xml:space="preserve"> км, опасный поворот);</w:t>
      </w:r>
    </w:p>
    <w:p w14:paraId="59B366FD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5282E634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02C6411F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</w:t>
      </w:r>
      <w:r>
        <w:rPr>
          <w:color w:val="000000"/>
          <w:sz w:val="28"/>
          <w:szCs w:val="28"/>
        </w:rPr>
        <w:t>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0ABCE8C7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0C3ADBB6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490B8F2D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5B809986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F8E9D5E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4D380A5F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 xml:space="preserve">- К-17р - </w:t>
      </w:r>
      <w:r>
        <w:rPr>
          <w:color w:val="000000"/>
          <w:sz w:val="28"/>
          <w:szCs w:val="28"/>
        </w:rPr>
        <w:t>с 41 по 44 км Новосибирского района;</w:t>
      </w:r>
    </w:p>
    <w:p w14:paraId="79F2B5A6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6F2FAB05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12C0D9A1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0B699DE1" w14:textId="77777777" w:rsidR="00FB3FD8" w:rsidRDefault="00075A59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</w:t>
      </w:r>
      <w:r>
        <w:rPr>
          <w:sz w:val="28"/>
          <w:szCs w:val="28"/>
        </w:rPr>
        <w:t>рокидывание.</w:t>
      </w:r>
    </w:p>
    <w:p w14:paraId="6DDA708A" w14:textId="77777777" w:rsidR="00FB3FD8" w:rsidRDefault="00075A5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Возможно затруднение движения автомобильного транспорта по грунтовым дорогам области.</w:t>
      </w:r>
    </w:p>
    <w:p w14:paraId="701C59FD" w14:textId="77777777" w:rsidR="00FB3FD8" w:rsidRDefault="00FB3FD8">
      <w:pPr>
        <w:ind w:firstLine="567"/>
        <w:jc w:val="both"/>
        <w:rPr>
          <w:sz w:val="28"/>
          <w:szCs w:val="28"/>
        </w:rPr>
      </w:pPr>
      <w:bookmarkStart w:id="9" w:name="_GoBack"/>
      <w:bookmarkEnd w:id="9"/>
    </w:p>
    <w:sectPr w:rsidR="00FB3FD8">
      <w:headerReference w:type="even" r:id="rId8"/>
      <w:headerReference w:type="default" r:id="rId9"/>
      <w:headerReference w:type="first" r:id="rId10"/>
      <w:pgSz w:w="11906" w:h="16838"/>
      <w:pgMar w:top="993" w:right="567" w:bottom="851" w:left="1276" w:header="284" w:footer="0" w:gutter="0"/>
      <w:cols w:space="720"/>
      <w:formProt w:val="0"/>
      <w:titlePg/>
      <w:docGrid w:linePitch="360" w:charSpace="434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569E" w14:textId="77777777" w:rsidR="00075A59" w:rsidRDefault="00075A59">
      <w:r>
        <w:separator/>
      </w:r>
    </w:p>
  </w:endnote>
  <w:endnote w:type="continuationSeparator" w:id="0">
    <w:p w14:paraId="2BE65B74" w14:textId="77777777" w:rsidR="00075A59" w:rsidRDefault="000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BF19" w14:textId="77777777" w:rsidR="00075A59" w:rsidRDefault="00075A59">
      <w:r>
        <w:separator/>
      </w:r>
    </w:p>
  </w:footnote>
  <w:footnote w:type="continuationSeparator" w:id="0">
    <w:p w14:paraId="46C3D494" w14:textId="77777777" w:rsidR="00075A59" w:rsidRDefault="0007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F0433" w14:textId="77777777" w:rsidR="00FB3FD8" w:rsidRDefault="00FB3FD8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AA81" w14:textId="77777777" w:rsidR="00FB3FD8" w:rsidRDefault="00075A59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A526" w14:textId="77777777" w:rsidR="00FB3FD8" w:rsidRDefault="00FB3FD8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0057A"/>
    <w:multiLevelType w:val="multilevel"/>
    <w:tmpl w:val="952419F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8817149"/>
    <w:multiLevelType w:val="multilevel"/>
    <w:tmpl w:val="B3C638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1201888"/>
    <w:multiLevelType w:val="multilevel"/>
    <w:tmpl w:val="7EDA18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D8"/>
    <w:rsid w:val="00075A59"/>
    <w:rsid w:val="00222D26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411C"/>
  <w15:docId w15:val="{28031456-6B47-445F-94C3-3D388EDE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706-3386-4C70-ACDA-8867E8DD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44222</TotalTime>
  <Pages>1</Pages>
  <Words>1622</Words>
  <Characters>9247</Characters>
  <Application>Microsoft Office Word</Application>
  <DocSecurity>0</DocSecurity>
  <Lines>77</Lines>
  <Paragraphs>21</Paragraphs>
  <ScaleCrop>false</ScaleCrop>
  <Company>Microsoft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1004</cp:revision>
  <dcterms:created xsi:type="dcterms:W3CDTF">2024-03-11T22:54:00Z</dcterms:created>
  <dcterms:modified xsi:type="dcterms:W3CDTF">2024-10-28T10:33:00Z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