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77C86D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421995">
        <w:rPr>
          <w:rFonts w:ascii="Times New Roman" w:hAnsi="Times New Roman" w:cs="Times New Roman"/>
          <w:b/>
        </w:rPr>
        <w:t>1</w:t>
      </w:r>
      <w:r w:rsidR="00F714DE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</w:t>
      </w:r>
      <w:r w:rsidR="00F714DE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9C501EA" w14:textId="14EA1F70" w:rsidR="00F714D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</w:t>
      </w:r>
      <w:r w:rsidR="00F714DE">
        <w:rPr>
          <w:rFonts w:ascii="Times New Roman" w:hAnsi="Times New Roman" w:cs="Times New Roman"/>
        </w:rPr>
        <w:t>–</w:t>
      </w:r>
      <w:r w:rsidR="00B05C7A">
        <w:rPr>
          <w:rFonts w:ascii="Times New Roman" w:hAnsi="Times New Roman" w:cs="Times New Roman"/>
        </w:rPr>
        <w:t xml:space="preserve"> </w:t>
      </w:r>
      <w:r w:rsidR="00F714DE">
        <w:rPr>
          <w:rFonts w:ascii="Times New Roman" w:hAnsi="Times New Roman" w:cs="Times New Roman"/>
        </w:rPr>
        <w:t>1</w:t>
      </w:r>
    </w:p>
    <w:p w14:paraId="74C4C980" w14:textId="08C5258B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В 20.10 15.11.2025 в диспетчерскую службу 67-ПСЧ 4 ФПС ГПС ГУ МЧС России по НСО (в экстренную службу 01) в телефонном режиме поступило сообщение о том, что горит пристройка к складу по адресу: Северный район, с.Северное,  ул.Ленина 90 В, ОАО «Белоярский ЛПК» (собственник устанавливается). Пристройка досчатая покрытая металлическими листами профнастила. Общая площадь пожара 500 квадратных метров. Причина возгорания устанавливается. Пострадавших нет.</w:t>
      </w:r>
      <w:r>
        <w:rPr>
          <w:rFonts w:ascii="Times New Roman" w:hAnsi="Times New Roman" w:cs="Times New Roman"/>
        </w:rPr>
        <w:t xml:space="preserve"> Угрозы населению нет.</w:t>
      </w:r>
    </w:p>
    <w:p w14:paraId="3C732E15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Пожару присвоен ранг 1 БИС.</w:t>
      </w:r>
    </w:p>
    <w:p w14:paraId="29BBBBC3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 xml:space="preserve">    Для тушения пожара привлекались следующие силы и средства:</w:t>
      </w:r>
    </w:p>
    <w:p w14:paraId="221F0368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 xml:space="preserve">- дежурный караул 67-ПСЧ 4 ФПС ГПС ГУ МЧС России по НСО – 3 единицы техники, 9 человек (старший Аверьянов Сергей Иванович). </w:t>
      </w:r>
    </w:p>
    <w:p w14:paraId="1AD25EE9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- ДПК Чебаковского сельсовета 1 единица техники, 2 человека.</w:t>
      </w:r>
    </w:p>
    <w:p w14:paraId="138FD7FB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- Верх-Красноярского отдельного поста ПЧ 122 -  2 единицы техники 5 человек.</w:t>
      </w:r>
    </w:p>
    <w:p w14:paraId="105D68AA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Время подачи 1го ствола  - 20:15 15.11.2025.</w:t>
      </w:r>
    </w:p>
    <w:p w14:paraId="6A85093D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Время локализации – 20:51 15.11.2025</w:t>
      </w:r>
    </w:p>
    <w:p w14:paraId="0CC04DF1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Время локализации открытого  горения – 21:35 15.11.2025.</w:t>
      </w:r>
    </w:p>
    <w:p w14:paraId="487AD5CA" w14:textId="77777777" w:rsidR="00F714DE" w:rsidRPr="00F714DE" w:rsidRDefault="00F714DE" w:rsidP="00F714D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714DE">
        <w:rPr>
          <w:rFonts w:ascii="Times New Roman" w:hAnsi="Times New Roman" w:cs="Times New Roman"/>
        </w:rPr>
        <w:t>Время полной ликвидации – 23:00 15.11.2025</w:t>
      </w:r>
    </w:p>
    <w:p w14:paraId="4C7B6224" w14:textId="7ADA74F0" w:rsidR="00C233DC" w:rsidRDefault="007C70A2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6304FEF" w14:textId="73562750" w:rsidR="00FE33B8" w:rsidRPr="00FE33B8" w:rsidRDefault="00FE33B8" w:rsidP="00FE33B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E33B8">
        <w:rPr>
          <w:rFonts w:ascii="Times New Roman" w:hAnsi="Times New Roman"/>
        </w:rPr>
        <w:t xml:space="preserve">18:30 15.11.2025 на территории Северного района  по адресу с.Северное, Новосибирской области, ул.Октябрьская 87 в результате плохих погодных условий произошло отключение транформаторной подстанции. Без электроснабжения находится 118 домов, СЗО -0,  295 человек. На устранение выехала аврийно-восстановительная бригада Северный РЭС филиала "ЗЭС" АО "РЭС", 3 чел., 1 ед. </w:t>
      </w:r>
      <w:r>
        <w:rPr>
          <w:rFonts w:ascii="Times New Roman" w:hAnsi="Times New Roman"/>
        </w:rPr>
        <w:t>В</w:t>
      </w:r>
      <w:r w:rsidRPr="00FE33B8">
        <w:rPr>
          <w:rFonts w:ascii="Times New Roman" w:hAnsi="Times New Roman"/>
        </w:rPr>
        <w:t>ремя устранения 2</w:t>
      </w:r>
      <w:r>
        <w:rPr>
          <w:rFonts w:ascii="Times New Roman" w:hAnsi="Times New Roman"/>
        </w:rPr>
        <w:t>3</w:t>
      </w:r>
      <w:r w:rsidRPr="00FE33B8">
        <w:rPr>
          <w:rFonts w:ascii="Times New Roman" w:hAnsi="Times New Roman"/>
        </w:rPr>
        <w:t>:</w:t>
      </w:r>
      <w:r>
        <w:rPr>
          <w:rFonts w:ascii="Times New Roman" w:hAnsi="Times New Roman"/>
        </w:rPr>
        <w:t>5</w:t>
      </w:r>
      <w:bookmarkStart w:id="2" w:name="_GoBack"/>
      <w:bookmarkEnd w:id="2"/>
      <w:r w:rsidRPr="00FE33B8">
        <w:rPr>
          <w:rFonts w:ascii="Times New Roman" w:hAnsi="Times New Roman"/>
        </w:rPr>
        <w:t>0 15.11.2025.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534EDC0" w14:textId="0E8A1DF9" w:rsidR="003E1290" w:rsidRPr="003E1290" w:rsidRDefault="003A5074" w:rsidP="003E1290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3A5074">
        <w:rPr>
          <w:rFonts w:ascii="Times New Roman" w:eastAsia="Times New Roman" w:hAnsi="Times New Roman"/>
          <w:color w:val="000000"/>
          <w:sz w:val="22"/>
          <w:szCs w:val="22"/>
        </w:rPr>
        <w:t xml:space="preserve">            </w:t>
      </w:r>
      <w:r w:rsidR="003E1290" w:rsidRPr="003E1290">
        <w:rPr>
          <w:rFonts w:ascii="Times New Roman" w:eastAsia="Times New Roman" w:hAnsi="Times New Roman"/>
          <w:color w:val="000000"/>
          <w:sz w:val="22"/>
          <w:szCs w:val="22"/>
        </w:rPr>
        <w:t>Переменная облачность, преимущественно без осадков. Ночью и утром местами изморозь. На дорогах сильная гололедица. Ветер южный 6-11 м/с, местами порывы до 16 м/с.</w:t>
      </w:r>
    </w:p>
    <w:p w14:paraId="1A91C122" w14:textId="77777777" w:rsidR="003E1290" w:rsidRPr="003E1290" w:rsidRDefault="003E1290" w:rsidP="003E1290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</w:pPr>
      <w:r w:rsidRPr="003E1290">
        <w:rPr>
          <w:rFonts w:ascii="Times New Roman" w:hAnsi="Times New Roman"/>
          <w:bCs/>
          <w:color w:val="000000"/>
          <w:lang w:bidi="hi-IN"/>
        </w:rPr>
        <w:t>Температура воздуха ночью -2, -7 °С, местами до -12 °С, днём -3, +2 °С.</w:t>
      </w:r>
    </w:p>
    <w:p w14:paraId="650C8314" w14:textId="64AAFBC8" w:rsidR="00D6128F" w:rsidRPr="00224B12" w:rsidRDefault="00D6128F" w:rsidP="003A5074">
      <w:pPr>
        <w:pStyle w:val="10"/>
        <w:rPr>
          <w:rFonts w:ascii="Times New Roman" w:hAnsi="Times New Roman" w:cs="Times New Roman"/>
          <w:sz w:val="22"/>
          <w:szCs w:val="22"/>
        </w:rPr>
      </w:pPr>
    </w:p>
    <w:sectPr w:rsidR="00D6128F" w:rsidRPr="00224B1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A512-AA79-4B6A-8800-B986CB52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194</cp:revision>
  <cp:lastPrinted>2023-12-13T08:45:00Z</cp:lastPrinted>
  <dcterms:created xsi:type="dcterms:W3CDTF">2025-07-04T14:07:00Z</dcterms:created>
  <dcterms:modified xsi:type="dcterms:W3CDTF">2025-11-16T00:25:00Z</dcterms:modified>
</cp:coreProperties>
</file>