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0A8B" w:rsidRPr="00BF0A8B" w:rsidRDefault="00BF0A8B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BD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06A8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8B5020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left="426" w:right="-4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документа планирования </w:t>
      </w: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регулярных</w:t>
      </w:r>
      <w:proofErr w:type="gramEnd"/>
    </w:p>
    <w:p w:rsidR="00D12B2B" w:rsidRPr="00D12B2B" w:rsidRDefault="00D12B2B" w:rsidP="00D12B2B">
      <w:pPr>
        <w:autoSpaceDN w:val="0"/>
        <w:adjustRightInd w:val="0"/>
        <w:spacing w:after="0" w:line="240" w:lineRule="auto"/>
        <w:ind w:left="426" w:right="-4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пассажирских перевозок транспортом общего пользования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left="426" w:right="-4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Северного района Новосибирской области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Федеральным законом 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соответствии с Федеральным законом от 06.10.2003    № 131-ФЗ "Об общих принципах организации местного самоуправления в Российской Федерации» администрация Северного района Новосибирской области </w:t>
      </w:r>
      <w:proofErr w:type="gramEnd"/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документ планирования регулярных пассажирских перевозок на территории Северного района Новосибирской области.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перечень мероприятий по развитию регулярных пассажирских перевозок по муниципальным маршрутам  на территории Северного района Новосибирской области.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3.Отменить постановления администрации Северного района Новосибирской области: от 08.11.2016 № 562  «Об утверждении документа планирования регулярных пассажирских перевозок транспортом общего пользования на территории Северного района Новосибирской области», от 30.03.2021№ 220   «О внесении изменений в постановление администрации Северного района Новосибирской области от 08.11.2016 № 562».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D12B2B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Северного района Новосибирской области «Северный  Вестник» и разместить на официальном сайте администрации Северного района Новосибирской области.</w:t>
      </w:r>
    </w:p>
    <w:p w:rsidR="00D12B2B" w:rsidRDefault="00D12B2B" w:rsidP="00D12B2B">
      <w:pPr>
        <w:widowControl w:val="0"/>
        <w:tabs>
          <w:tab w:val="left" w:pos="1418"/>
        </w:tabs>
        <w:spacing w:after="0" w:line="320" w:lineRule="exact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proofErr w:type="gramStart"/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градостроительству, коммунальному хозяйству и транспорту администрации Северного района Новосибирской области </w:t>
      </w:r>
      <w:proofErr w:type="spellStart"/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D12B2B" w:rsidRPr="003F3CDC" w:rsidRDefault="00D12B2B" w:rsidP="00D1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A829EA" w:rsidRDefault="00D12B2B" w:rsidP="00D1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:rsidR="00D12B2B" w:rsidRPr="00A829EA" w:rsidRDefault="00D12B2B" w:rsidP="00D1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2B2B" w:rsidRPr="00A829EA" w:rsidSect="00D12B2B">
          <w:footerReference w:type="default" r:id="rId10"/>
          <w:pgSz w:w="11905" w:h="16838"/>
          <w:pgMar w:top="1134" w:right="567" w:bottom="709" w:left="1418" w:header="0" w:footer="0" w:gutter="0"/>
          <w:cols w:space="720"/>
        </w:sectPr>
      </w:pP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D12B2B" w:rsidRPr="00D12B2B" w:rsidRDefault="00D12B2B" w:rsidP="00D12B2B">
      <w:pPr>
        <w:widowControl w:val="0"/>
        <w:tabs>
          <w:tab w:val="left" w:pos="1418"/>
        </w:tabs>
        <w:spacing w:after="0" w:line="320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right="1"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.06.2022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329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Документ планирования регулярных пассажирских перевозок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территории Северного района Новосибирской области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numPr>
          <w:ilvl w:val="0"/>
          <w:numId w:val="14"/>
        </w:numPr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1.1.Целью развития регулярных перевозок транспортом общего пользования в Северном районе Новосибирской области является повышение качественного уровня транспортного обслуживания населения с учетом социальных, экономических и экологических факторов.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1.2.В рамках реализации поставленной цели основными задачами развития регулярных перевозок транспортом общего пользования в Северном районе Новосибирской области являются: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оптимальной маршрутной сети;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конкурсных процедур по определению исполнителя на выполнение регулярных пассажирских перевозок;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-совершенствование транспортной инфраструктуры и </w:t>
      </w: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осуществлением регулярных перевозок транспортом общего пользования.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1.3.Оптимизация маршрутной сети производится с учетом реальных пассажиропотоков.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 Текущее состояние регулярных перевозок транспортом общего пользования на территории Северного района Новосибирской области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2.1.Транспорт общего пользования на территории Северного района Новосибирской области  представлен автобусами. В настоящее время регулярную перевозку пассажиров и багажа транспортом общего пользования на </w:t>
      </w:r>
      <w:proofErr w:type="spell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мужмуниципальных</w:t>
      </w:r>
      <w:proofErr w:type="spell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(внутриобластные) маршрутах  по нерегулируемым тарифам осуществляет ОАО автотранспортное предприятие  «</w:t>
      </w:r>
      <w:proofErr w:type="spell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Северноеагротранс</w:t>
      </w:r>
      <w:proofErr w:type="spell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». На  межмуниципальных маршрутах по регулируемым тарифам осуществляет регулярную перевозку пассажиров и багажа транспортом общего пользования Муниципальное унитарное предприятие «Северное автотранспортное предприятие» Северного района Новосибирской области согласно контракту № 0151300023922000001 от 04.04.2022 г.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2.2.Маршрутная сеть на территории Северного района Новосибирской области состоит из 11 муниципальных маршрутов регулярных перевозок (далее – маршрут регулярных перевозок). Информация размещена на сайте администрации Северного района Новосибирской области.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2.3.Общая численность сельского населения Северного района Новосибирской области на 01.01.2022 года составляет 8825 человек, из них 2508 человек – имеют право на меры социальной поддержки при проезде на транспорте, 209 человек – имеют специальные проездные билеты.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Район продолжает выполнять обязательства по перевозке пассажиров всех категорий граждан, в том числе по единому проездному билету. Ежедневно на муниципальных маршрутах пассажирские перевозки осуществляют 8 автобусов средней вместимости. Общий годовой объем перевозок в муниципальном сообщении Северного района составляет 25,8 тысяч пассажиров.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Районная муниципальная маршрутная сеть в основном обеспечивает потребности сельского населения района.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2.4.Наиболее острые проблемы в развитии транспортного обслуживания сельского населения Северного района Новосибирской области: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изношенность подвижного состава;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разобщенность сел, низкая наполняемость автобусов.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2.5.Анализ ситуации в сфере общественных пассажирских перевозок показывает, что в последние годы объем пассажирских перевозок стабильно держится на отметке 25,8 тысячи пассажиров в год. </w:t>
      </w: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разницы между установленными (регулируемыми) тарифами и фактической себестоимостью, а так же незначительной интенсивности пассажиропотоков на социально-значимых автобусных маршрутов (по регулируемым тарифам), пассажирские перевозки на данных маршрутах являются нерентабельными (убыточными).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2.6.Для обеспечения услуг общественного пассажирского транспорта для сельского населения Северного района Новосибирской области необходимо не только сохранить  существующую маршрутную сеть, но и существенно обновить подвижной состав.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2.7.Для повышения эффективности транспортного обслуживания населения необходимо комплексно и системно подходить к решению различных вопросов: финансово-экономических, организационно-методических, технических. Опыт показывает, что наилучшие результаты достигаются в условиях прогнозирования направления, сроков внедрения, финансовых источников, окупаемости инвестиций, управления процессом, то есть решения проблем программно-целевым методом.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2.8.Проведенный анализ состояния регулярных  пассажирских перевозок транспортом общего пользования по муниципальным маршрутам Северного района Новосибирской области показывает, что в течени</w:t>
      </w: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последних двух лет произошли определенные изменения в сфере регулярных перевозок пассажиров и багажа: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старение автобусного парка, что приводит к его списанию и как следствие сокращение подвижного состава;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существующая дорожная сеть имеет ряд недостатков: не все дороги имеют щебеночное покрытие.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сложившаяся в сфере регулярных перевозок ситуация требует совершенствования и развития.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3.Развитие регулярных перевозок транспортом общего пользования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3.1.Задачи по формированию оптимальной маршрутной сети планируется реализовать в соответствии с законодательством и правовыми актами Северного  района Новосибирской области.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3.2.Учитывая пожелания граждан Северного района Новосибирской области, после проведения необходимых процедур в тестовом режиме, орган местного самоуправления Северного района Новосибирской области устанавливает, изменяет, отменяет муниципальные маршруты.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3.3.Порядок установления, изменения, отмены муниципальных маршрутов регулярных перевозок (в то числе основания для отказа в установлении либо изменении данных маршрутов, основания для отмены данных маршрутов) устанавливается нормативными правовыми актами с учетом положений Федерального закона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отдельные законодательные акты Российской Федерации».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4. Вид регулярных перевозок транспортом общего пользования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4.1.В соответствии со ст. 17 Федерального закона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на территории  Северного района Новосибирской области пассажирские перевозки транспортом общего пользования выполняются по регулируемым тарифам в соответствии с постановлением администрации  Северного</w:t>
      </w:r>
      <w:proofErr w:type="gram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08.11.2016 № 564 «Об утверждении Порядка установления, изменения и отмены муниципальных маршрутов регулярных перевозок автомобильным транспортом на территории Северного района».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4.2.Вид регулярных перевозок может быть изменен. Уведомление о </w:t>
      </w: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решении</w:t>
      </w:r>
      <w:proofErr w:type="gramEnd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изменении вида регулярных перевозок должно быть направлено юридическому лицу, индивидуальному предпринимателю, уполномоченному участнику договора простого товарищества, осуществляющих регулярные перевозки, не позднее ста восьмидесяти дней до дня вступления указанного решения в силу.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Результат реализации документа планирования 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регулярных пассажирских перевозок 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Северного района Новосибирской области.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Ожидаемые результаты реализации документа планирования </w:t>
      </w:r>
      <w:proofErr w:type="gramStart"/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регулярных</w:t>
      </w:r>
      <w:proofErr w:type="gramEnd"/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перевозок транспортом общего пользования: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безопасности транспортного обслуживания населения;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удобства, комфортности и привлекательности транспорта общего пользования на территории Северного района Новосибирской области;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регулярности движения транспорта общего пользования на территории Северного района Новосибирской области;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объема перевозок пассажиров;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улучшение транспортной доступности удаленных населенных пунктов;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отрицательного влияния транспорта общего пользования на территории Северного района Новосибирской области на окружающую среду;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доступности транспорта общего пользования на территории Северного района Новосибирской области для граждан, относящихся к маломобильным группам населения;</w:t>
      </w:r>
    </w:p>
    <w:p w:rsidR="00D12B2B" w:rsidRPr="00D12B2B" w:rsidRDefault="00D12B2B" w:rsidP="00D12B2B">
      <w:pPr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Calibri" w:hAnsi="Times New Roman" w:cs="Times New Roman"/>
          <w:sz w:val="28"/>
          <w:szCs w:val="28"/>
          <w:lang w:eastAsia="ru-RU"/>
        </w:rPr>
        <w:t>- внедрение современных информационных технологий в сфере регулярных перевозок транспортом общего пользования.</w:t>
      </w: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реализации документа планирования</w:t>
      </w:r>
    </w:p>
    <w:p w:rsidR="00D12B2B" w:rsidRPr="00D12B2B" w:rsidRDefault="00D12B2B" w:rsidP="00D12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пассажирских перевозок</w:t>
      </w:r>
    </w:p>
    <w:p w:rsidR="00D12B2B" w:rsidRPr="00D12B2B" w:rsidRDefault="00D12B2B" w:rsidP="00D12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Северного района Новосибирской области.</w:t>
      </w: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документа планирования регулярных пассажирских перевозок на территории Северного района Новосибирской области на 5 лет.</w:t>
      </w: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Default="00D12B2B" w:rsidP="00D12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B2B" w:rsidRPr="00D12B2B" w:rsidRDefault="00D12B2B" w:rsidP="00D12B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B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мероприятий по развитию регулярных пассажирских </w:t>
      </w:r>
    </w:p>
    <w:p w:rsidR="00D12B2B" w:rsidRPr="00D12B2B" w:rsidRDefault="00D12B2B" w:rsidP="00D12B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B2B">
        <w:rPr>
          <w:rFonts w:ascii="Times New Roman" w:eastAsia="Calibri" w:hAnsi="Times New Roman" w:cs="Times New Roman"/>
          <w:sz w:val="28"/>
          <w:szCs w:val="28"/>
        </w:rPr>
        <w:t>перевозок по муниципальным маршрутам</w:t>
      </w:r>
    </w:p>
    <w:p w:rsidR="00D12B2B" w:rsidRPr="00D12B2B" w:rsidRDefault="00D12B2B" w:rsidP="00D12B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687"/>
        <w:gridCol w:w="1910"/>
        <w:gridCol w:w="2236"/>
        <w:gridCol w:w="1638"/>
      </w:tblGrid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затраты,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обслуживания на маршрутах регулярных перевозок пассажиров и багажа с помощью единой региональной системы РНИС по управлению автомобильным транспортом и городским наземным электрическим транспортом, осуществляющим регулярную перевозку пассажиров и багажа 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Северного района  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и прогнозирование состояния транспортного обслуживания населения в целях определения потребности населения в пассажирских перевозках автомобильным транспортом общего пользования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Северного района  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электронного аукциона и заключение муниципального контракта на право осуществления регулярных перевозок по регулируемым тарифам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До конца  года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Северного района 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Обследования улично-дорожной сети на маршрутах регулярных перевозок пассажиров и остановочных пунктов 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Северного района ОГИБДД МО МВД РФ «Куйбышевский»,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нормативном состоянии улично дорожной 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которым проходят маршруты регулярных перевозок и остановочных пунктов 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Северного района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Приобритение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(обновление) транспортных средств </w:t>
            </w: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автомобильного и наземного электрического общественного транспорта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Северного района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2022 - 6000,0 </w:t>
            </w:r>
            <w:proofErr w:type="spell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2B2B" w:rsidRPr="00D12B2B" w:rsidRDefault="00D12B2B" w:rsidP="00D12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0 </w:t>
            </w:r>
            <w:proofErr w:type="spell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D12B2B" w:rsidRPr="00D12B2B" w:rsidRDefault="00D12B2B" w:rsidP="00D12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0 </w:t>
            </w:r>
            <w:proofErr w:type="spell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D12B2B" w:rsidRPr="00D12B2B" w:rsidRDefault="00D12B2B" w:rsidP="00D12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0 </w:t>
            </w:r>
            <w:proofErr w:type="spell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D12B2B" w:rsidRPr="00D12B2B" w:rsidRDefault="00D12B2B" w:rsidP="00D12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– 0 </w:t>
            </w:r>
            <w:proofErr w:type="spell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– 0 </w:t>
            </w:r>
            <w:proofErr w:type="spell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проектов организации дорожного движения </w:t>
            </w:r>
            <w:bookmarkStart w:id="0" w:name="_GoBack"/>
            <w:bookmarkEnd w:id="0"/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820,0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642,0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– 70,0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– 184,7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2026 – 0 тыс. рублей;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– 820,0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D12B2B" w:rsidRPr="00D12B2B" w:rsidTr="005C158D">
        <w:tc>
          <w:tcPr>
            <w:tcW w:w="558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7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и оценка технического состояния автомобильных дорог местного значения</w:t>
            </w:r>
          </w:p>
        </w:tc>
        <w:tc>
          <w:tcPr>
            <w:tcW w:w="1910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6" w:type="dxa"/>
            <w:shd w:val="clear" w:color="auto" w:fill="auto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638" w:type="dxa"/>
          </w:tcPr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482,6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482,6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– 482,6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– 482,6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– 482,6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2B2B" w:rsidRPr="00D12B2B" w:rsidRDefault="00D12B2B" w:rsidP="00D1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– 482,6 </w:t>
            </w:r>
            <w:proofErr w:type="spell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12B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2B" w:rsidRPr="00D12B2B" w:rsidRDefault="00D12B2B" w:rsidP="00D1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7F" w:rsidRDefault="004F4A7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7F" w:rsidSect="00D12B2B">
      <w:footerReference w:type="default" r:id="rId11"/>
      <w:pgSz w:w="12240" w:h="15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35" w:rsidRDefault="00927B35" w:rsidP="008729EC">
      <w:pPr>
        <w:spacing w:after="0" w:line="240" w:lineRule="auto"/>
      </w:pPr>
      <w:r>
        <w:separator/>
      </w:r>
    </w:p>
  </w:endnote>
  <w:endnote w:type="continuationSeparator" w:id="0">
    <w:p w:rsidR="00927B35" w:rsidRDefault="00927B3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B" w:rsidRDefault="00D12B2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B" w:rsidRDefault="00D12B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35" w:rsidRDefault="00927B35" w:rsidP="008729EC">
      <w:pPr>
        <w:spacing w:after="0" w:line="240" w:lineRule="auto"/>
      </w:pPr>
      <w:r>
        <w:separator/>
      </w:r>
    </w:p>
  </w:footnote>
  <w:footnote w:type="continuationSeparator" w:id="0">
    <w:p w:rsidR="00927B35" w:rsidRDefault="00927B3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02949"/>
    <w:multiLevelType w:val="hybridMultilevel"/>
    <w:tmpl w:val="BC1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9">
    <w:nsid w:val="30AE3997"/>
    <w:multiLevelType w:val="hybridMultilevel"/>
    <w:tmpl w:val="0A06C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52312"/>
    <w:multiLevelType w:val="hybridMultilevel"/>
    <w:tmpl w:val="92F435D6"/>
    <w:lvl w:ilvl="0" w:tplc="D23A97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4D1ABC"/>
    <w:multiLevelType w:val="hybridMultilevel"/>
    <w:tmpl w:val="662E6B60"/>
    <w:lvl w:ilvl="0" w:tplc="17CAF00A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53F1C56"/>
    <w:multiLevelType w:val="hybridMultilevel"/>
    <w:tmpl w:val="E0802A78"/>
    <w:lvl w:ilvl="0" w:tplc="EEE4689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77CA0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25F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0059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034A"/>
    <w:rsid w:val="004F165B"/>
    <w:rsid w:val="004F28B0"/>
    <w:rsid w:val="004F4A7F"/>
    <w:rsid w:val="00502371"/>
    <w:rsid w:val="00506BBA"/>
    <w:rsid w:val="00507350"/>
    <w:rsid w:val="00512F0A"/>
    <w:rsid w:val="00514DCF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464EA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6552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2140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06A8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B502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27B35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64D3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E77A6"/>
    <w:rsid w:val="00BF0A8B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2B2B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118B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3531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61CE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CE1E-1022-4F78-B444-EED6D2EB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97</cp:revision>
  <cp:lastPrinted>2022-06-15T07:23:00Z</cp:lastPrinted>
  <dcterms:created xsi:type="dcterms:W3CDTF">2022-02-08T02:34:00Z</dcterms:created>
  <dcterms:modified xsi:type="dcterms:W3CDTF">2022-06-15T07:24:00Z</dcterms:modified>
</cp:coreProperties>
</file>