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430E72BB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E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BE5BB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14:paraId="1C543E63" w14:textId="77777777" w:rsidR="00BE5BBF" w:rsidRDefault="00BE5BBF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9942D" w14:textId="77777777" w:rsidR="00BE5BBF" w:rsidRPr="00BE5BBF" w:rsidRDefault="00BE5BBF" w:rsidP="00BE5B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Требований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14:paraId="3E234179" w14:textId="77777777" w:rsidR="00BE5BBF" w:rsidRPr="00BE5BBF" w:rsidRDefault="00BE5BBF" w:rsidP="00BE5B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4C7F4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 статьи 5 </w:t>
      </w:r>
      <w:r w:rsidRPr="00BE5BBF">
        <w:rPr>
          <w:rFonts w:ascii="Times New Roman" w:eastAsia="Calibri" w:hAnsi="Times New Roman" w:cs="Times New Roman"/>
          <w:color w:val="106BBE"/>
          <w:sz w:val="28"/>
          <w:szCs w:val="28"/>
        </w:rPr>
        <w:t>Федерального закона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Северного района Новосибирской области от 06.07.2023 № 380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Северного района Новосибирской области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>» и от 09.08.2023 № 454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администрация Северного района Новосибирской области</w:t>
      </w:r>
    </w:p>
    <w:p w14:paraId="738B051A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FE26034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Требования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(далее – Требования).</w:t>
      </w:r>
    </w:p>
    <w:p w14:paraId="07D69F93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2. Обеспечить оказание муниципальной услуги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Северном районе Новосибирской области в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14:paraId="6B4A59A6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BE5BBF">
        <w:rPr>
          <w:rFonts w:ascii="Times New Roman" w:eastAsia="Calibri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BE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Pr="00BE5B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Северного района Новосибирской области от 09.08.2023 № 454.</w:t>
      </w:r>
    </w:p>
    <w:p w14:paraId="2D3A4ED2" w14:textId="77777777" w:rsid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lastRenderedPageBreak/>
        <w:t>4. Управлению делами администрации Северного района Новосибирской области (</w:t>
      </w:r>
      <w:proofErr w:type="spellStart"/>
      <w:r w:rsidRPr="00BE5BBF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С.В.) </w:t>
      </w: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информационно-коммуникационной сети Интернет.</w:t>
      </w:r>
    </w:p>
    <w:p w14:paraId="776BC751" w14:textId="30EE9519" w:rsidR="00BE5BBF" w:rsidRPr="00BE5BBF" w:rsidRDefault="00BE5BBF" w:rsidP="00BE5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5BB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BE5BBF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Г.М. и заместителя главы администрации по сельскому хозяйству и экономическому развитию Воробьева И.Г. </w:t>
      </w:r>
    </w:p>
    <w:p w14:paraId="7CCA6C9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54BA6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41B4F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89737" w14:textId="77777777" w:rsidR="00BE5BBF" w:rsidRPr="00BE5BBF" w:rsidRDefault="00BE5BBF" w:rsidP="00BE5BB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6C0DF9EF" w14:textId="4BDAAC82" w:rsidR="00BE5BBF" w:rsidRPr="00BE5BBF" w:rsidRDefault="00BE5BBF" w:rsidP="00BE5BB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  С.В. Коростелев           </w:t>
      </w:r>
    </w:p>
    <w:p w14:paraId="6F3A47AC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C8972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91ACE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33FF5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987A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4D50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C2C9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7F459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55E37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03D347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CD011D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0A9D4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6FD9E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0702A8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FDB70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646DA1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CE6F49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902D66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2A487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BEA94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D323AE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CA40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FE586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1F415" w14:textId="7777777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79776B" w14:textId="77777777" w:rsidR="0067206C" w:rsidRDefault="0067206C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E7067B" w14:textId="77777777" w:rsidR="0067206C" w:rsidRDefault="0067206C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F18DB8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4D97D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C7784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5F610C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AB497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8EFDA5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A55D4F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14:paraId="6DA27B15" w14:textId="2487DA1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0AC668D8" w14:textId="77777777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14:paraId="2F9573FA" w14:textId="78B0DAB1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138F162A" w14:textId="61A40D63" w:rsid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21.08.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2023 № </w:t>
      </w:r>
      <w:r>
        <w:rPr>
          <w:rFonts w:ascii="Times New Roman" w:eastAsia="Calibri" w:hAnsi="Times New Roman" w:cs="Times New Roman"/>
          <w:sz w:val="28"/>
          <w:szCs w:val="28"/>
        </w:rPr>
        <w:t>483</w:t>
      </w:r>
    </w:p>
    <w:p w14:paraId="33C2A94B" w14:textId="77777777" w:rsidR="00BE5BBF" w:rsidRPr="00BE5BBF" w:rsidRDefault="00BE5BBF" w:rsidP="00BE5BB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5202A6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C3C9FC1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</w:p>
    <w:p w14:paraId="47BDAB29" w14:textId="4DE578CA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Северном районе Новосибирской области в </w:t>
      </w:r>
      <w:r w:rsidRPr="00BE5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525C2839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BE5B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Северном районе Новосибирской области</w:t>
      </w:r>
      <w:r w:rsidRPr="00BE5B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BE5BBF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Новосибирской области, в соответствии с социальными сертификатами.</w:t>
      </w:r>
      <w:proofErr w:type="gramEnd"/>
    </w:p>
    <w:p w14:paraId="347FF4DD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Уполномоченным органом, утверждающим муниципальный социальный заказ на оказание муниципальной услуги и обеспечивающим его исполнение, является администрация Северного района Новосибирской области (далее – уполномоченный орган).</w:t>
      </w:r>
    </w:p>
    <w:p w14:paraId="2BE19A2D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Исполнителем муниципальной услуги является организация, осуществляющая образовательную деятельность или индивидуальный предприниматель, 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Северного района Новосибирской области от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09.08.2023 № 454 (далее соответственно – Исполнитель, Порядок формирования реестра исполнителей).       </w:t>
      </w:r>
    </w:p>
    <w:p w14:paraId="08E48CA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Потребителями муниципальной услуги являются дети в возрасте от 5 до 18 лет, проживающие на территории Северного района Новосибирской области и имеющие право на получение муниципальных услуг в соответствии с социальным сертификатом (далее - Потребитель).</w:t>
      </w:r>
    </w:p>
    <w:p w14:paraId="42F500D7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определенным Порядком формирования реестра исполнителей, обеспечивается путем проведения процедуры общественной экспертизы в форме независимой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Новосибирской области от 24.12.2019 N 3260 (ред. от 16.03.2021) "О проведении независимой оценки качества дополнительных общеобразовательных программ (общественной экспертизы)" (далее – Регламент НОК).</w:t>
      </w:r>
    </w:p>
    <w:p w14:paraId="4C2E22F4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Минимальными требованиями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  <w:proofErr w:type="gramEnd"/>
    </w:p>
    <w:p w14:paraId="20FFC53B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0F3E3311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BE5B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E5BBF">
        <w:rPr>
          <w:rFonts w:ascii="Times New Roman" w:eastAsia="Calibri" w:hAnsi="Times New Roman" w:cs="Times New Roman"/>
          <w:sz w:val="28"/>
          <w:szCs w:val="28"/>
        </w:rPr>
        <w:t>разделе II</w:t>
      </w:r>
      <w:r w:rsidRPr="00BE5BB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E5BBF">
        <w:rPr>
          <w:rFonts w:ascii="Times New Roman" w:eastAsia="Calibri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6039C35A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23084C08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10599DCF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14:paraId="5907CBF0" w14:textId="77777777" w:rsidR="00BE5BBF" w:rsidRPr="00BE5BBF" w:rsidRDefault="00BE5BBF" w:rsidP="00BE5BBF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proofErr w:type="gramStart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1B27A9CE" w14:textId="77777777" w:rsidR="00BE5BBF" w:rsidRPr="00BE5BBF" w:rsidRDefault="00BE5BBF" w:rsidP="00BE5B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bscript"/>
        </w:rPr>
      </w:pPr>
    </w:p>
    <w:p w14:paraId="5BAA01BA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E5BBF" w:rsidRPr="00BE5BBF" w:rsidSect="00BE5BB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41117C3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3EC9497D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Требованиям</w:t>
      </w:r>
    </w:p>
    <w:p w14:paraId="4B151C5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3ED574E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33AFE10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 xml:space="preserve">Минимальные требования </w:t>
      </w:r>
    </w:p>
    <w:p w14:paraId="49318487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0BB60B49" w14:textId="77777777" w:rsidR="00BE5BBF" w:rsidRPr="00BE5BBF" w:rsidRDefault="00BE5BBF" w:rsidP="00BE5BB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BE5BBF" w:rsidRPr="00BE5BBF" w14:paraId="1B7BFE81" w14:textId="77777777" w:rsidTr="003B0003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B93A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№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B9CD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7EDF6903" w14:textId="77777777" w:rsidR="00BE5BBF" w:rsidRPr="00BE5BBF" w:rsidRDefault="00BE5BBF" w:rsidP="00BE5B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BE5BBF" w:rsidRPr="00BE5BBF" w14:paraId="3FC097DF" w14:textId="77777777" w:rsidTr="003B0003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CC833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FD38B6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98033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3</w:t>
            </w:r>
          </w:p>
        </w:tc>
      </w:tr>
      <w:tr w:rsidR="00BE5BBF" w:rsidRPr="00BE5BBF" w14:paraId="3C984FEE" w14:textId="77777777" w:rsidTr="003B000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F0AA5" w14:textId="77777777" w:rsidR="00BE5BBF" w:rsidRPr="00BE5BBF" w:rsidRDefault="00BE5BBF" w:rsidP="00BE5BB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BE5BBF" w:rsidRPr="00BE5BBF" w14:paraId="09DE8904" w14:textId="77777777" w:rsidTr="003B000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3F3E3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1CAC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220BDF4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муниципальной услуги</w:t>
            </w:r>
          </w:p>
          <w:p w14:paraId="3C814AC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</w:p>
          <w:p w14:paraId="471DD58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94BEAE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10" w:history="1">
              <w:r w:rsidRPr="00BE5BBF">
                <w:rPr>
                  <w:rFonts w:ascii="Times New Roman" w:eastAsia="Times New Roman" w:hAnsi="Times New Roman" w:cs="Times New Roman"/>
                  <w:kern w:val="2"/>
                  <w:sz w:val="26"/>
                  <w:szCs w:val="26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0B640CFB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18529EA7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Информационное обеспечение предоставления  муниципальной услуги осуществляется в соответствии со статьей 29 Закона об образовании.</w:t>
            </w:r>
          </w:p>
          <w:p w14:paraId="349D1940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Муниципальная услуга оказывается потребителю в соответствии   с ГОСТ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Р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58485-2019 «Обеспечение безопасности образовательных организаций.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BE5BBF" w:rsidRPr="00BE5BBF" w14:paraId="410FD4BA" w14:textId="77777777" w:rsidTr="003B000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B0CF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DF1A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D09F4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2FD3D7DE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Персонал должен иметь профессиональную квалификацию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,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6D0D2DCC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2DA2D642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Минздравсоцразвития</w:t>
            </w:r>
            <w:proofErr w:type="spell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от 26.08.2010г. №761н.</w:t>
            </w:r>
          </w:p>
          <w:p w14:paraId="5B02723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14:paraId="07E4E328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72EB1EF7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BE5BBF" w:rsidRPr="00BE5BBF" w14:paraId="77829D77" w14:textId="77777777" w:rsidTr="003B0003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0CC1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2. Требования к дополнительной образовательной программе (далее –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), </w:t>
            </w: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>реализуемой в соответствии с социальным сертификатом</w:t>
            </w:r>
          </w:p>
        </w:tc>
      </w:tr>
      <w:tr w:rsidR="00BE5BBF" w:rsidRPr="00BE5BBF" w14:paraId="4774FF89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FDBE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035E7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нормативным требованиям к разработке и утверждению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BF49D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:</w:t>
            </w:r>
          </w:p>
          <w:p w14:paraId="4FF40EC4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  <w14:ligatures w14:val="standardContextual"/>
              </w:rPr>
              <w:t xml:space="preserve"> - 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60E7460D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23773A30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300018A2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Письмом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Минобрнауки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разноуровневые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программы)")</w:t>
            </w:r>
          </w:p>
          <w:p w14:paraId="0EBDC67D" w14:textId="77777777" w:rsidR="00BE5BBF" w:rsidRPr="00BE5BBF" w:rsidRDefault="00BE5BBF" w:rsidP="00BE5BBF">
            <w:pPr>
              <w:keepNext/>
              <w:keepLines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  <w14:ligatures w14:val="standardContextual"/>
              </w:rPr>
              <w:t>-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 xml:space="preserve"> Письмо </w:t>
            </w:r>
            <w:proofErr w:type="spellStart"/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>Минобрнауки</w:t>
            </w:r>
            <w:proofErr w:type="spellEnd"/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  <w14:ligatures w14:val="standardContextual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21744F67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616D96B" w14:textId="77777777" w:rsidR="00BE5BBF" w:rsidRPr="00BE5BBF" w:rsidRDefault="00BE5BBF" w:rsidP="00BE5BBF">
            <w:pPr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359F9DC9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BE5BBF" w:rsidRPr="00BE5BBF" w14:paraId="29BEF75C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C0A9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AF9C0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06EC4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Цели и задачи </w:t>
            </w:r>
            <w:proofErr w:type="gramStart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должны соответствовать требованиям статьи 75 Закона об образовании.</w:t>
            </w:r>
          </w:p>
          <w:p w14:paraId="06A6029D" w14:textId="77777777" w:rsidR="00BE5BBF" w:rsidRPr="00BE5BBF" w:rsidRDefault="00BE5BBF" w:rsidP="00BE5BBF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и(</w:t>
            </w:r>
            <w:proofErr w:type="gramEnd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BE5BBF" w:rsidRPr="00BE5BBF" w14:paraId="5A59EDE2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4525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7F69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B41DC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В соответствии со п.9. ст.2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Федерального закона "Об образовании в Российской Федерации" от 29.12.2012 N 273-ФЗ в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д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1F5A9AD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1. Титульный лист</w:t>
            </w:r>
          </w:p>
          <w:p w14:paraId="71F2348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2. Комплекс основных характеристик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</w:p>
          <w:p w14:paraId="73D6928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09C15EAE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E5BBF" w:rsidRPr="00BE5BBF" w14:paraId="33B27620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7EB8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F15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оформлению титульного листа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D5E4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 титульном листе обязательно указываются:</w:t>
            </w:r>
          </w:p>
          <w:p w14:paraId="6A06D049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22718273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14:paraId="77A627E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реквизиты утверждения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включающие дату утверждения, номера приказа и протокола (при наличии), подпись директора, печать; </w:t>
            </w:r>
          </w:p>
          <w:p w14:paraId="3C55B69D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название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3F4B7BE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направленность; </w:t>
            </w:r>
          </w:p>
          <w:p w14:paraId="4DDC2E3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возраст обучающихся, на которых рассчитана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12E5FF20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срок реализации; количество часов по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1C792DDE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ФИО и должность автора (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ов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6FE15CCF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BE5BBF" w:rsidRPr="00BE5BBF" w14:paraId="6DCD458F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A661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DB709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7B7B2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Комплекс основных характеристик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должен включать в себя следующие элементы: </w:t>
            </w:r>
          </w:p>
          <w:p w14:paraId="5130F58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пояснительная записка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в которой указывается нормативно-правовая основа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 направленность, актуальность</w:t>
            </w:r>
            <w:r w:rsidRPr="00BE5BBF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; 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разноуровневая</w:t>
            </w:r>
            <w:proofErr w:type="spell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BE5BBF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возраст,</w:t>
            </w: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5E479B13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уровень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разноуровневая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7C1504B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объем и срок освоения </w:t>
            </w:r>
            <w:proofErr w:type="gramStart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BE5BBF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п</w:t>
            </w:r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еречень видов занятий</w:t>
            </w:r>
            <w:bookmarkEnd w:id="2"/>
            <w:r w:rsidRPr="00BE5B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; перечень форм подведения итогов реализации дополнительной общеразвивающей программы.</w:t>
            </w:r>
          </w:p>
          <w:p w14:paraId="4D63A28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цели, задачи и планируемые результаты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</w:p>
          <w:p w14:paraId="025EBCD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содержание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: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</w:p>
          <w:p w14:paraId="077EFC2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2D9CA75C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Содержание учебного плана — это описание разделов (модулей) и тем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в соответствии с последовательностью,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lastRenderedPageBreak/>
              <w:t xml:space="preserve">заданной учебным планом, включая описание теоретических и практических частей и форм контроля по каждой теме </w:t>
            </w:r>
            <w:r w:rsidRPr="00BE5BBF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для каждого периода (года) обучения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. </w:t>
            </w:r>
          </w:p>
        </w:tc>
      </w:tr>
      <w:tr w:rsidR="00BE5BBF" w:rsidRPr="00BE5BBF" w14:paraId="2E2B27E8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F26509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B0A06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C567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Цель и задачи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должны верифицироваться планируемым результатам.</w:t>
            </w:r>
          </w:p>
          <w:p w14:paraId="256E7F6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Задачи: </w:t>
            </w:r>
          </w:p>
          <w:p w14:paraId="1B1A80A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области развития личностной сферы учащегося (личностные), </w:t>
            </w:r>
          </w:p>
          <w:p w14:paraId="62C5CE7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 области развития 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умений (</w:t>
            </w:r>
            <w:proofErr w:type="spellStart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</w:p>
          <w:p w14:paraId="598EC8F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- в области предметных знаний и умений (предметные).</w:t>
            </w:r>
          </w:p>
          <w:p w14:paraId="55C0200A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результаты:</w:t>
            </w:r>
          </w:p>
          <w:p w14:paraId="469A12F3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личностные планируемые результаты, </w:t>
            </w:r>
          </w:p>
          <w:p w14:paraId="1FD5BCA9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− </w:t>
            </w:r>
            <w:proofErr w:type="spellStart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планируемые результаты, </w:t>
            </w:r>
          </w:p>
          <w:p w14:paraId="65B364B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− предметные образовательные результаты.</w:t>
            </w:r>
          </w:p>
        </w:tc>
      </w:tr>
      <w:tr w:rsidR="00BE5BBF" w:rsidRPr="00BE5BBF" w14:paraId="7B27CD6A" w14:textId="77777777" w:rsidTr="003B000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6B2F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BA237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AE994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Обязательными организационно-педагогическими условиями   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являются:</w:t>
            </w:r>
          </w:p>
          <w:p w14:paraId="76DFA52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календарный учебный график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CD0F4C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формы аттестации (контроля)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;</w:t>
            </w:r>
          </w:p>
          <w:p w14:paraId="774B8E78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оценочные материал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>ы-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</w:t>
            </w: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28A58E80" w14:textId="77777777" w:rsidR="00BE5BBF" w:rsidRPr="00BE5BBF" w:rsidRDefault="00BE5BBF" w:rsidP="00BE5BBF">
            <w:pPr>
              <w:spacing w:after="0" w:line="240" w:lineRule="auto"/>
              <w:ind w:left="-107" w:firstLine="47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методическое обеспечение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– </w:t>
            </w:r>
            <w:r w:rsidRPr="00BE5BB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258968B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материально-техническое обеспечение </w:t>
            </w:r>
            <w:proofErr w:type="gramStart"/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ДОП</w:t>
            </w:r>
            <w:proofErr w:type="gramEnd"/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4B944EBA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BE5BB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список литературы, содержащий </w:t>
            </w:r>
            <w:r w:rsidRPr="00BE5BB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139D15B5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нормативные правовые акты, </w:t>
            </w:r>
          </w:p>
          <w:p w14:paraId="0C5675F5" w14:textId="77777777" w:rsidR="00BE5BBF" w:rsidRPr="00BE5BBF" w:rsidRDefault="00BE5BBF" w:rsidP="00BE5BBF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основную и дополнительную литературу, </w:t>
            </w:r>
          </w:p>
          <w:p w14:paraId="6BF7EA21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− список литературы для обучающихся, родителей, в том числе </w:t>
            </w:r>
            <w:proofErr w:type="gramStart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интернет-источники</w:t>
            </w:r>
            <w:proofErr w:type="gramEnd"/>
            <w:r w:rsidRPr="00BE5BBF">
              <w:rPr>
                <w:rFonts w:ascii="Times New Roman" w:eastAsia="Gungsuh" w:hAnsi="Times New Roman" w:cs="Times New Roman"/>
                <w:sz w:val="26"/>
                <w:szCs w:val="26"/>
              </w:rPr>
              <w:t>.</w:t>
            </w:r>
          </w:p>
          <w:p w14:paraId="20DDE1AF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</w:pPr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Список оформляется по ГОСТ (</w:t>
            </w:r>
            <w:proofErr w:type="gramStart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>Р</w:t>
            </w:r>
            <w:proofErr w:type="gramEnd"/>
            <w:r w:rsidRPr="00BE5BBF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  <w14:ligatures w14:val="standardContextual"/>
              </w:rPr>
              <w:t xml:space="preserve"> 7.0.11-2011 либо Р 7.0.100-2018).</w:t>
            </w:r>
          </w:p>
        </w:tc>
      </w:tr>
    </w:tbl>
    <w:p w14:paraId="4100495A" w14:textId="77777777" w:rsidR="00BE5BBF" w:rsidRPr="00BE5BBF" w:rsidRDefault="00BE5BBF" w:rsidP="00BE5BBF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0AE6A0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3E554E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5B4842" w14:textId="77777777" w:rsidR="00BE5BBF" w:rsidRPr="00BE5BBF" w:rsidRDefault="00BE5BBF" w:rsidP="00BE5BBF">
      <w:pPr>
        <w:tabs>
          <w:tab w:val="left" w:pos="2055"/>
        </w:tabs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EFEB4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1D222B29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Требованиям</w:t>
      </w:r>
    </w:p>
    <w:p w14:paraId="42DE7CFD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6C6DDF7B" w14:textId="77777777" w:rsidR="00BE5BBF" w:rsidRPr="00BE5BBF" w:rsidRDefault="00BE5BBF" w:rsidP="00BE5BBF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4E236F43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Критерии</w:t>
      </w: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14:paraId="407047AA" w14:textId="77777777" w:rsidR="00BE5BBF" w:rsidRPr="00BE5BBF" w:rsidRDefault="00BE5BBF" w:rsidP="00BE5BB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E5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2E7A14EF" w14:textId="77777777" w:rsidR="00BE5BBF" w:rsidRPr="00BE5BBF" w:rsidRDefault="00BE5BBF" w:rsidP="00BE5BBF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642"/>
        <w:gridCol w:w="8856"/>
      </w:tblGrid>
      <w:tr w:rsidR="00BE5BBF" w:rsidRPr="00BE5BBF" w14:paraId="611DF26E" w14:textId="77777777" w:rsidTr="003B0003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5F0" w14:textId="77777777" w:rsidR="00BE5BBF" w:rsidRPr="00BE5BBF" w:rsidRDefault="00BE5BBF" w:rsidP="00BE5BBF">
            <w:pPr>
              <w:spacing w:after="160" w:line="228" w:lineRule="exact"/>
              <w:jc w:val="center"/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BE5BBF">
              <w:rPr>
                <w:rFonts w:eastAsia="Times New Roman"/>
                <w:bCs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2C1C" w14:textId="77777777" w:rsidR="00BE5BBF" w:rsidRPr="00BE5BBF" w:rsidRDefault="00BE5BBF" w:rsidP="00BE5BBF">
            <w:pPr>
              <w:spacing w:after="160" w:line="228" w:lineRule="exact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w w:val="99"/>
                <w:sz w:val="26"/>
                <w:szCs w:val="26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BE5BBF" w:rsidRPr="00BE5BBF" w14:paraId="3AA48143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202" w14:textId="77777777" w:rsidR="00BE5BBF" w:rsidRPr="00BE5BBF" w:rsidRDefault="00BE5BBF" w:rsidP="00BE5BBF">
            <w:pPr>
              <w:spacing w:after="160" w:line="219" w:lineRule="exact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DB8" w14:textId="77777777" w:rsidR="00BE5BBF" w:rsidRPr="00BE5BBF" w:rsidRDefault="00BE5BBF" w:rsidP="00BE5BBF">
            <w:pPr>
              <w:spacing w:after="160" w:line="219" w:lineRule="exact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BE5BBF" w:rsidRPr="00BE5BBF" w14:paraId="247B140F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3E0" w14:textId="77777777" w:rsidR="00BE5BBF" w:rsidRPr="00BE5BBF" w:rsidRDefault="00BE5BBF" w:rsidP="00BE5BBF">
            <w:pPr>
              <w:numPr>
                <w:ilvl w:val="1"/>
                <w:numId w:val="4"/>
              </w:numPr>
              <w:ind w:left="-81" w:firstLine="0"/>
              <w:contextualSpacing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EBB" w14:textId="77777777" w:rsidR="00BE5BBF" w:rsidRPr="00BE5BBF" w:rsidRDefault="00BE5BBF" w:rsidP="00BE5BBF">
            <w:pPr>
              <w:spacing w:after="160"/>
              <w:ind w:left="-81"/>
              <w:contextualSpacing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BE5BBF">
              <w:rPr>
                <w:rFonts w:eastAsia="Calibri"/>
                <w:sz w:val="26"/>
                <w:szCs w:val="26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BE5BBF">
              <w:rPr>
                <w:rFonts w:eastAsia="Calibri"/>
                <w:sz w:val="26"/>
                <w:szCs w:val="26"/>
              </w:rPr>
              <w:t>а(</w:t>
            </w:r>
            <w:proofErr w:type="spellStart"/>
            <w:proofErr w:type="gramEnd"/>
            <w:r w:rsidRPr="00BE5BBF">
              <w:rPr>
                <w:rFonts w:eastAsia="Calibri"/>
                <w:sz w:val="26"/>
                <w:szCs w:val="26"/>
              </w:rPr>
              <w:t>ов</w:t>
            </w:r>
            <w:proofErr w:type="spellEnd"/>
            <w:r w:rsidRPr="00BE5BBF">
              <w:rPr>
                <w:rFonts w:eastAsia="Calibri"/>
                <w:sz w:val="26"/>
                <w:szCs w:val="26"/>
              </w:rPr>
              <w:t>)-составителя(ей) программы; место (населенный пункт) реализации программы.</w:t>
            </w:r>
          </w:p>
        </w:tc>
      </w:tr>
      <w:tr w:rsidR="00BE5BBF" w:rsidRPr="00BE5BBF" w14:paraId="1CA4FD3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8CD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08A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BE5BBF" w:rsidRPr="00BE5BBF" w14:paraId="34F06314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B4D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96A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  <w:proofErr w:type="gramEnd"/>
          </w:p>
        </w:tc>
      </w:tr>
      <w:tr w:rsidR="00BE5BBF" w:rsidRPr="00BE5BBF" w14:paraId="771236A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4C2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E5BBF">
              <w:rPr>
                <w:rFonts w:eastAsia="Calibri"/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113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117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BE5BBF" w:rsidRPr="00BE5BBF" w14:paraId="54B3325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D69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D73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0C3B297C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proofErr w:type="gramEnd"/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BE5BBF" w:rsidRPr="00BE5BBF" w14:paraId="19C3DC46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712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2.4</w:t>
            </w:r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21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BE5BBF">
              <w:rPr>
                <w:rFonts w:eastAsia="Calibri"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, личностных)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BE5BBF" w:rsidRPr="00BE5BBF" w14:paraId="3D69B46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A9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5F6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BE5BBF" w:rsidRPr="00BE5BBF" w14:paraId="4DECFDB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5D9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BAA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BE5BBF" w:rsidRPr="00BE5BBF" w14:paraId="018EDE9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61E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3D2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BE5BBF">
              <w:rPr>
                <w:rFonts w:eastAsia="Calibri"/>
                <w:bCs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Pr="00BE5BBF">
              <w:rPr>
                <w:rFonts w:eastAsia="Calibri"/>
                <w:sz w:val="26"/>
                <w:szCs w:val="26"/>
              </w:rPr>
              <w:t xml:space="preserve">аличие обязательных элементов – перечень, трудоемкость, последовательность и распределение по периодам обучения учебных </w:t>
            </w:r>
            <w:r w:rsidRPr="00BE5BBF">
              <w:rPr>
                <w:rFonts w:eastAsia="Calibri"/>
                <w:sz w:val="26"/>
                <w:szCs w:val="26"/>
              </w:rPr>
              <w:lastRenderedPageBreak/>
              <w:t>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BE5BBF" w:rsidRPr="00BE5BBF" w14:paraId="6A8F2B8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F38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6CE" w14:textId="77777777" w:rsidR="00BE5BBF" w:rsidRPr="00BE5BBF" w:rsidRDefault="00BE5BBF" w:rsidP="00BE5BBF">
            <w:pPr>
              <w:autoSpaceDE w:val="0"/>
              <w:autoSpaceDN w:val="0"/>
              <w:adjustRightInd w:val="0"/>
              <w:spacing w:after="160" w:line="256" w:lineRule="auto"/>
              <w:ind w:left="-81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BE5BBF" w:rsidRPr="00BE5BBF" w14:paraId="0EDCC6C5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FCB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1FF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BE5BBF" w:rsidRPr="00BE5BBF" w14:paraId="1109182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2F5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93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E1B" w14:textId="77777777" w:rsidR="00BE5BBF" w:rsidRPr="00BE5BBF" w:rsidRDefault="00BE5BBF" w:rsidP="00BE5BBF">
            <w:pPr>
              <w:widowControl w:val="0"/>
              <w:spacing w:after="160" w:line="256" w:lineRule="auto"/>
              <w:ind w:left="-81" w:right="93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BE5BBF" w:rsidRPr="00BE5BBF" w14:paraId="3FC3BC5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70F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4.2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5F5A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BE5BBF">
              <w:rPr>
                <w:rFonts w:eastAsia="Calibri"/>
                <w:sz w:val="26"/>
                <w:szCs w:val="26"/>
              </w:rPr>
              <w:t>соблюдён баланс между заявленной трудоёмкостью темы и объемом представляемого содержания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).</w:t>
            </w:r>
          </w:p>
        </w:tc>
      </w:tr>
      <w:tr w:rsidR="00BE5BBF" w:rsidRPr="00BE5BBF" w14:paraId="489C5432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E1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2D14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BE5BBF" w:rsidRPr="00BE5BBF" w14:paraId="11CFAE2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CCA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C712" w14:textId="77777777" w:rsidR="00BE5BBF" w:rsidRPr="00BE5BBF" w:rsidRDefault="00BE5BBF" w:rsidP="00BE5BB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Наличие к</w:t>
            </w:r>
            <w:r w:rsidRPr="00BE5BBF">
              <w:rPr>
                <w:rFonts w:eastAsia="Calibri"/>
                <w:sz w:val="26"/>
                <w:szCs w:val="26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BE5BBF" w:rsidRPr="00BE5BBF" w14:paraId="0A7EE8FA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D0A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5.2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C52B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BE5BBF" w:rsidRPr="00BE5BBF" w14:paraId="677ADF8C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717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5.3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700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BE5BBF" w:rsidRPr="00BE5BBF" w14:paraId="2040B945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422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5.4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EA3B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</w:t>
            </w:r>
            <w:r w:rsidRPr="00BE5BBF">
              <w:rPr>
                <w:rFonts w:eastAsia="Calibri"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BE5BBF" w:rsidRPr="00BE5BBF" w14:paraId="160A7C44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BC1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418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BE5BBF" w:rsidRPr="00BE5BBF" w14:paraId="4C663EF0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23E" w14:textId="77777777" w:rsidR="00BE5BBF" w:rsidRPr="00BE5BBF" w:rsidRDefault="00BE5BBF" w:rsidP="00BE5BBF">
            <w:pPr>
              <w:spacing w:after="160" w:line="256" w:lineRule="auto"/>
              <w:ind w:left="-81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E37" w14:textId="77777777" w:rsidR="00BE5BBF" w:rsidRPr="00BE5BBF" w:rsidRDefault="00BE5BBF" w:rsidP="00BE5BBF">
            <w:pPr>
              <w:spacing w:after="160" w:line="256" w:lineRule="auto"/>
              <w:ind w:left="-81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BE5BBF" w:rsidRPr="00BE5BBF" w14:paraId="39505A53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9CD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D46D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BE5BBF">
              <w:rPr>
                <w:rFonts w:eastAsia="Gungsuh"/>
                <w:sz w:val="26"/>
                <w:szCs w:val="26"/>
              </w:rPr>
              <w:t xml:space="preserve"> (ГОСТ </w:t>
            </w:r>
            <w:proofErr w:type="gramStart"/>
            <w:r w:rsidRPr="00BE5BBF">
              <w:rPr>
                <w:rFonts w:eastAsia="Gungsuh"/>
                <w:sz w:val="26"/>
                <w:szCs w:val="26"/>
              </w:rPr>
              <w:t>Р</w:t>
            </w:r>
            <w:proofErr w:type="gramEnd"/>
            <w:r w:rsidRPr="00BE5BBF">
              <w:rPr>
                <w:rFonts w:eastAsia="Gungsuh"/>
                <w:sz w:val="26"/>
                <w:szCs w:val="26"/>
              </w:rPr>
              <w:t xml:space="preserve"> 7.0.11-2011 либо ГОСТ Р 7.0.100-2018)</w:t>
            </w:r>
            <w:r w:rsidRPr="00BE5BBF">
              <w:rPr>
                <w:rFonts w:eastAsia="Calibri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  <w:tr w:rsidR="00BE5BBF" w:rsidRPr="00BE5BBF" w14:paraId="4E8129CE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E63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0CCF" w14:textId="77777777" w:rsidR="00BE5BBF" w:rsidRPr="00BE5BBF" w:rsidRDefault="00BE5BBF" w:rsidP="00BE5BBF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BE5BBF" w:rsidRPr="00BE5BBF" w14:paraId="7F812428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E0D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before="161" w:after="161" w:line="256" w:lineRule="auto"/>
              <w:jc w:val="both"/>
              <w:outlineLvl w:val="0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E5BBF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6E0" w14:textId="77777777" w:rsidR="00BE5BBF" w:rsidRPr="00BE5BBF" w:rsidRDefault="00BE5BBF" w:rsidP="00BE5BBF">
            <w:pPr>
              <w:keepNext/>
              <w:keepLines/>
              <w:shd w:val="clear" w:color="auto" w:fill="FFFFFF"/>
              <w:spacing w:before="161" w:after="161" w:line="256" w:lineRule="auto"/>
              <w:outlineLvl w:val="0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BE5BBF">
              <w:rPr>
                <w:rFonts w:eastAsia="Times New Roman"/>
                <w:sz w:val="26"/>
                <w:szCs w:val="26"/>
              </w:rPr>
              <w:t xml:space="preserve">ГОСТ </w:t>
            </w:r>
            <w:proofErr w:type="gramStart"/>
            <w:r w:rsidRPr="00BE5BBF">
              <w:rPr>
                <w:rFonts w:eastAsia="Times New Roman"/>
                <w:sz w:val="26"/>
                <w:szCs w:val="26"/>
              </w:rPr>
              <w:t>Р</w:t>
            </w:r>
            <w:proofErr w:type="gramEnd"/>
            <w:r w:rsidRPr="00BE5BBF">
              <w:rPr>
                <w:rFonts w:eastAsia="Times New Roman"/>
                <w:sz w:val="26"/>
                <w:szCs w:val="26"/>
              </w:rPr>
              <w:t xml:space="preserve"> 7.0.97-2016)</w:t>
            </w:r>
          </w:p>
        </w:tc>
      </w:tr>
      <w:tr w:rsidR="00BE5BBF" w:rsidRPr="00BE5BBF" w14:paraId="65FA2891" w14:textId="77777777" w:rsidTr="003B000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8FF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8DC" w14:textId="77777777" w:rsidR="00BE5BBF" w:rsidRPr="00BE5BBF" w:rsidRDefault="00BE5BBF" w:rsidP="00BE5BBF">
            <w:pPr>
              <w:spacing w:after="160" w:line="256" w:lineRule="auto"/>
              <w:ind w:left="-81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E5BBF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BE5BBF">
              <w:rPr>
                <w:rFonts w:eastAsia="Calibri"/>
                <w:sz w:val="26"/>
                <w:szCs w:val="26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925BF4" w:rsidSect="006F6B96">
      <w:pgSz w:w="11906" w:h="16838"/>
      <w:pgMar w:top="79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DD771" w14:textId="77777777" w:rsidR="00441839" w:rsidRDefault="00441839" w:rsidP="00251913">
      <w:pPr>
        <w:spacing w:after="0" w:line="240" w:lineRule="auto"/>
      </w:pPr>
      <w:r>
        <w:separator/>
      </w:r>
    </w:p>
  </w:endnote>
  <w:endnote w:type="continuationSeparator" w:id="0">
    <w:p w14:paraId="6F9AAE78" w14:textId="77777777" w:rsidR="00441839" w:rsidRDefault="00441839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5487" w14:textId="77777777" w:rsidR="00441839" w:rsidRDefault="00441839" w:rsidP="00251913">
      <w:pPr>
        <w:spacing w:after="0" w:line="240" w:lineRule="auto"/>
      </w:pPr>
      <w:r>
        <w:separator/>
      </w:r>
    </w:p>
  </w:footnote>
  <w:footnote w:type="continuationSeparator" w:id="0">
    <w:p w14:paraId="7137272F" w14:textId="77777777" w:rsidR="00441839" w:rsidRDefault="00441839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41839"/>
    <w:rsid w:val="004B0115"/>
    <w:rsid w:val="005A339B"/>
    <w:rsid w:val="005C7E74"/>
    <w:rsid w:val="005D7CBD"/>
    <w:rsid w:val="0067206C"/>
    <w:rsid w:val="006F6B96"/>
    <w:rsid w:val="00722ADB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5BBF"/>
    <w:rsid w:val="00BE77CD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E5BB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E5BB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F546-4588-404A-987F-9E72CFD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49</cp:revision>
  <cp:lastPrinted>2023-08-22T04:11:00Z</cp:lastPrinted>
  <dcterms:created xsi:type="dcterms:W3CDTF">2022-03-15T05:46:00Z</dcterms:created>
  <dcterms:modified xsi:type="dcterms:W3CDTF">2023-08-22T04:11:00Z</dcterms:modified>
</cp:coreProperties>
</file>