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502A11">
        <w:rPr>
          <w:b/>
          <w:bCs/>
        </w:rPr>
        <w:t>1</w:t>
      </w:r>
      <w:r w:rsidR="00962089">
        <w:rPr>
          <w:b/>
          <w:bCs/>
        </w:rPr>
        <w:t>8</w:t>
      </w:r>
      <w:r w:rsidR="007C2BE4">
        <w:rPr>
          <w:b/>
          <w:bCs/>
        </w:rPr>
        <w:t>.</w:t>
      </w:r>
      <w:r w:rsidR="002D6E7E">
        <w:rPr>
          <w:b/>
          <w:bCs/>
        </w:rPr>
        <w:t>11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  <w:bookmarkStart w:id="0" w:name="_GoBack"/>
      <w:bookmarkEnd w:id="0"/>
    </w:p>
    <w:p w:rsidR="005E165F" w:rsidRPr="00BC0CA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03C06" w:rsidRDefault="00962089" w:rsidP="00502A11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170 тысяч новосибирских семей с начала Программы улучшили свои жилищные условия при помощи средств материнского капитала</w:t>
      </w:r>
    </w:p>
    <w:p w:rsidR="002A5E62" w:rsidRDefault="002A5E62" w:rsidP="00502A11">
      <w:pPr>
        <w:pStyle w:val="af6"/>
        <w:ind w:firstLine="567"/>
        <w:jc w:val="both"/>
        <w:rPr>
          <w:sz w:val="16"/>
          <w:szCs w:val="16"/>
        </w:rPr>
      </w:pPr>
    </w:p>
    <w:p w:rsidR="00962089" w:rsidRDefault="00962089" w:rsidP="00962089">
      <w:pPr>
        <w:pStyle w:val="af6"/>
        <w:ind w:firstLine="426"/>
        <w:jc w:val="both"/>
        <w:rPr>
          <w:sz w:val="26"/>
          <w:szCs w:val="26"/>
          <w:shd w:val="clear" w:color="auto" w:fill="FFFFFF"/>
        </w:rPr>
      </w:pPr>
      <w:r w:rsidRPr="00E6455C">
        <w:rPr>
          <w:sz w:val="26"/>
          <w:szCs w:val="26"/>
          <w:shd w:val="clear" w:color="auto" w:fill="FFFFFF"/>
        </w:rPr>
        <w:t xml:space="preserve">Материнский капитал на улучшение жилищных условий </w:t>
      </w:r>
      <w:r>
        <w:rPr>
          <w:sz w:val="26"/>
          <w:szCs w:val="26"/>
          <w:shd w:val="clear" w:color="auto" w:fill="FFFFFF"/>
        </w:rPr>
        <w:t xml:space="preserve">с начала реализации Программы поддержки семей с детьми средствами </w:t>
      </w:r>
      <w:proofErr w:type="gramStart"/>
      <w:r>
        <w:rPr>
          <w:sz w:val="26"/>
          <w:szCs w:val="26"/>
          <w:shd w:val="clear" w:color="auto" w:fill="FFFFFF"/>
        </w:rPr>
        <w:t>МСК</w:t>
      </w:r>
      <w:proofErr w:type="gramEnd"/>
      <w:r>
        <w:rPr>
          <w:sz w:val="26"/>
          <w:szCs w:val="26"/>
          <w:shd w:val="clear" w:color="auto" w:fill="FFFFFF"/>
        </w:rPr>
        <w:t xml:space="preserve"> (с 2007 года) </w:t>
      </w:r>
      <w:r w:rsidRPr="00E6455C">
        <w:rPr>
          <w:sz w:val="26"/>
          <w:szCs w:val="26"/>
          <w:shd w:val="clear" w:color="auto" w:fill="FFFFFF"/>
        </w:rPr>
        <w:t xml:space="preserve">направили </w:t>
      </w:r>
      <w:r>
        <w:rPr>
          <w:sz w:val="26"/>
          <w:szCs w:val="26"/>
          <w:shd w:val="clear" w:color="auto" w:fill="FFFFFF"/>
        </w:rPr>
        <w:t>170 тысяч новосибирских</w:t>
      </w:r>
      <w:r w:rsidRPr="00E6455C">
        <w:rPr>
          <w:sz w:val="26"/>
          <w:szCs w:val="26"/>
          <w:shd w:val="clear" w:color="auto" w:fill="FFFFFF"/>
        </w:rPr>
        <w:t xml:space="preserve"> семей. Это одно из самых популярных направлений использования средств </w:t>
      </w:r>
      <w:proofErr w:type="spellStart"/>
      <w:r w:rsidRPr="00E6455C">
        <w:rPr>
          <w:sz w:val="26"/>
          <w:szCs w:val="26"/>
          <w:shd w:val="clear" w:color="auto" w:fill="FFFFFF"/>
        </w:rPr>
        <w:t>маткапитала</w:t>
      </w:r>
      <w:proofErr w:type="spellEnd"/>
      <w:r w:rsidRPr="00E6455C">
        <w:rPr>
          <w:sz w:val="26"/>
          <w:szCs w:val="26"/>
          <w:shd w:val="clear" w:color="auto" w:fill="FFFFFF"/>
        </w:rPr>
        <w:t xml:space="preserve"> </w:t>
      </w:r>
      <w:r w:rsidR="00BC0CA7">
        <w:rPr>
          <w:sz w:val="26"/>
          <w:szCs w:val="26"/>
          <w:shd w:val="clear" w:color="auto" w:fill="FFFFFF"/>
        </w:rPr>
        <w:t xml:space="preserve">в регионе </w:t>
      </w:r>
      <w:r>
        <w:rPr>
          <w:sz w:val="26"/>
          <w:szCs w:val="26"/>
          <w:shd w:val="clear" w:color="auto" w:fill="FFFFFF"/>
        </w:rPr>
        <w:t>–</w:t>
      </w:r>
      <w:r w:rsidRPr="00E6455C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80 </w:t>
      </w:r>
      <w:r w:rsidRPr="00E6455C">
        <w:rPr>
          <w:sz w:val="26"/>
          <w:szCs w:val="26"/>
          <w:shd w:val="clear" w:color="auto" w:fill="FFFFFF"/>
        </w:rPr>
        <w:t xml:space="preserve">% </w:t>
      </w:r>
      <w:r>
        <w:rPr>
          <w:sz w:val="26"/>
          <w:szCs w:val="26"/>
          <w:shd w:val="clear" w:color="auto" w:fill="FFFFFF"/>
        </w:rPr>
        <w:t>от общего числа поданных заявлений о распоряжении средствами МСК</w:t>
      </w:r>
      <w:r w:rsidRPr="00E6455C">
        <w:rPr>
          <w:sz w:val="26"/>
          <w:szCs w:val="26"/>
          <w:shd w:val="clear" w:color="auto" w:fill="FFFFFF"/>
        </w:rPr>
        <w:t>. </w:t>
      </w:r>
    </w:p>
    <w:p w:rsidR="00962089" w:rsidRDefault="00962089" w:rsidP="00962089">
      <w:pPr>
        <w:pStyle w:val="af6"/>
        <w:ind w:firstLine="426"/>
        <w:jc w:val="both"/>
        <w:rPr>
          <w:sz w:val="26"/>
          <w:szCs w:val="26"/>
          <w:shd w:val="clear" w:color="auto" w:fill="FFFFFF"/>
        </w:rPr>
      </w:pPr>
      <w:r w:rsidRPr="00E6455C">
        <w:rPr>
          <w:sz w:val="26"/>
          <w:szCs w:val="26"/>
          <w:shd w:val="clear" w:color="auto" w:fill="FFFFFF"/>
        </w:rPr>
        <w:t xml:space="preserve">Так, </w:t>
      </w:r>
      <w:r>
        <w:rPr>
          <w:sz w:val="26"/>
          <w:szCs w:val="26"/>
          <w:shd w:val="clear" w:color="auto" w:fill="FFFFFF"/>
        </w:rPr>
        <w:t>более</w:t>
      </w:r>
      <w:r w:rsidRPr="00E6455C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120 тысяч</w:t>
      </w:r>
      <w:r w:rsidRPr="00E6455C">
        <w:rPr>
          <w:sz w:val="26"/>
          <w:szCs w:val="26"/>
          <w:shd w:val="clear" w:color="auto" w:fill="FFFFFF"/>
        </w:rPr>
        <w:t xml:space="preserve"> семей </w:t>
      </w:r>
      <w:r>
        <w:rPr>
          <w:sz w:val="26"/>
          <w:szCs w:val="26"/>
          <w:shd w:val="clear" w:color="auto" w:fill="FFFFFF"/>
        </w:rPr>
        <w:t xml:space="preserve">региона </w:t>
      </w:r>
      <w:r w:rsidRPr="00E6455C">
        <w:rPr>
          <w:sz w:val="26"/>
          <w:szCs w:val="26"/>
          <w:shd w:val="clear" w:color="auto" w:fill="FFFFFF"/>
        </w:rPr>
        <w:t>частично или полностью погасили материнским капиталом кредит либо перв</w:t>
      </w:r>
      <w:r>
        <w:rPr>
          <w:sz w:val="26"/>
          <w:szCs w:val="26"/>
          <w:shd w:val="clear" w:color="auto" w:fill="FFFFFF"/>
        </w:rPr>
        <w:t xml:space="preserve">оначальный </w:t>
      </w:r>
      <w:r w:rsidRPr="00E6455C">
        <w:rPr>
          <w:sz w:val="26"/>
          <w:szCs w:val="26"/>
          <w:shd w:val="clear" w:color="auto" w:fill="FFFFFF"/>
        </w:rPr>
        <w:t>взнос на приобретение ил</w:t>
      </w:r>
      <w:r>
        <w:rPr>
          <w:sz w:val="26"/>
          <w:szCs w:val="26"/>
          <w:shd w:val="clear" w:color="auto" w:fill="FFFFFF"/>
        </w:rPr>
        <w:t xml:space="preserve">и строительство жилья. Еще </w:t>
      </w:r>
      <w:r w:rsidR="00BC0CA7">
        <w:rPr>
          <w:sz w:val="26"/>
          <w:szCs w:val="26"/>
          <w:shd w:val="clear" w:color="auto" w:fill="FFFFFF"/>
        </w:rPr>
        <w:t>почти 49</w:t>
      </w:r>
      <w:r>
        <w:rPr>
          <w:sz w:val="26"/>
          <w:szCs w:val="26"/>
          <w:shd w:val="clear" w:color="auto" w:fill="FFFFFF"/>
        </w:rPr>
        <w:t xml:space="preserve"> тысяч</w:t>
      </w:r>
      <w:r w:rsidRPr="00E6455C">
        <w:rPr>
          <w:sz w:val="26"/>
          <w:szCs w:val="26"/>
          <w:shd w:val="clear" w:color="auto" w:fill="FFFFFF"/>
        </w:rPr>
        <w:t xml:space="preserve"> семей улучшили жилищные условия без привлечения кредитных средств. В общей сложности на эти цели </w:t>
      </w:r>
      <w:r w:rsidR="00C25563">
        <w:rPr>
          <w:sz w:val="26"/>
          <w:szCs w:val="26"/>
          <w:shd w:val="clear" w:color="auto" w:fill="FFFFFF"/>
        </w:rPr>
        <w:t xml:space="preserve">Отделение ПФР по Новосибирской области </w:t>
      </w:r>
      <w:r w:rsidRPr="00E6455C">
        <w:rPr>
          <w:sz w:val="26"/>
          <w:szCs w:val="26"/>
          <w:shd w:val="clear" w:color="auto" w:fill="FFFFFF"/>
        </w:rPr>
        <w:t>перечислил</w:t>
      </w:r>
      <w:r w:rsidR="00C25563">
        <w:rPr>
          <w:sz w:val="26"/>
          <w:szCs w:val="26"/>
          <w:shd w:val="clear" w:color="auto" w:fill="FFFFFF"/>
        </w:rPr>
        <w:t>о</w:t>
      </w:r>
      <w:r w:rsidRPr="00E6455C">
        <w:rPr>
          <w:sz w:val="26"/>
          <w:szCs w:val="26"/>
          <w:shd w:val="clear" w:color="auto" w:fill="FFFFFF"/>
        </w:rPr>
        <w:t xml:space="preserve"> семьям </w:t>
      </w:r>
      <w:r w:rsidR="00C25563">
        <w:rPr>
          <w:sz w:val="26"/>
          <w:szCs w:val="26"/>
          <w:shd w:val="clear" w:color="auto" w:fill="FFFFFF"/>
        </w:rPr>
        <w:t>70,5</w:t>
      </w:r>
      <w:r w:rsidRPr="00E6455C">
        <w:rPr>
          <w:sz w:val="26"/>
          <w:szCs w:val="26"/>
          <w:shd w:val="clear" w:color="auto" w:fill="FFFFFF"/>
        </w:rPr>
        <w:t xml:space="preserve"> млрд</w:t>
      </w:r>
      <w:r>
        <w:rPr>
          <w:sz w:val="26"/>
          <w:szCs w:val="26"/>
          <w:shd w:val="clear" w:color="auto" w:fill="FFFFFF"/>
        </w:rPr>
        <w:t>.</w:t>
      </w:r>
      <w:r w:rsidR="00C25563">
        <w:rPr>
          <w:sz w:val="26"/>
          <w:szCs w:val="26"/>
          <w:shd w:val="clear" w:color="auto" w:fill="FFFFFF"/>
        </w:rPr>
        <w:t xml:space="preserve"> рублей</w:t>
      </w:r>
      <w:r w:rsidRPr="00E6455C">
        <w:rPr>
          <w:sz w:val="26"/>
          <w:szCs w:val="26"/>
          <w:shd w:val="clear" w:color="auto" w:fill="FFFFFF"/>
        </w:rPr>
        <w:t>.</w:t>
      </w:r>
    </w:p>
    <w:p w:rsidR="00962089" w:rsidRDefault="00962089" w:rsidP="00962089">
      <w:pPr>
        <w:pStyle w:val="af6"/>
        <w:ind w:firstLine="426"/>
        <w:jc w:val="both"/>
        <w:rPr>
          <w:sz w:val="26"/>
          <w:szCs w:val="26"/>
          <w:shd w:val="clear" w:color="auto" w:fill="FFFFFF"/>
        </w:rPr>
      </w:pPr>
      <w:r w:rsidRPr="00E6455C">
        <w:rPr>
          <w:sz w:val="26"/>
          <w:szCs w:val="26"/>
          <w:shd w:val="clear" w:color="auto" w:fill="FFFFFF"/>
        </w:rPr>
        <w:t xml:space="preserve">Потратить </w:t>
      </w:r>
      <w:proofErr w:type="spellStart"/>
      <w:r w:rsidRPr="00E6455C">
        <w:rPr>
          <w:sz w:val="26"/>
          <w:szCs w:val="26"/>
          <w:shd w:val="clear" w:color="auto" w:fill="FFFFFF"/>
        </w:rPr>
        <w:t>маткапитал</w:t>
      </w:r>
      <w:proofErr w:type="spellEnd"/>
      <w:r w:rsidRPr="00E6455C">
        <w:rPr>
          <w:sz w:val="26"/>
          <w:szCs w:val="26"/>
          <w:shd w:val="clear" w:color="auto" w:fill="FFFFFF"/>
        </w:rPr>
        <w:t xml:space="preserve"> на улучшение жилищных условий можно, когда ребенку, в связи с рождением (усыновлением) которого возникло право на материнский капитал, исполнится три года. Исключением является погашение основного долга или первоначального взноса по ипотеке. В этом случае потратить средства </w:t>
      </w:r>
      <w:r w:rsidR="00C25563">
        <w:rPr>
          <w:sz w:val="26"/>
          <w:szCs w:val="26"/>
          <w:shd w:val="clear" w:color="auto" w:fill="FFFFFF"/>
        </w:rPr>
        <w:t xml:space="preserve">капитала </w:t>
      </w:r>
      <w:r w:rsidR="00BC0CA7">
        <w:rPr>
          <w:sz w:val="26"/>
          <w:szCs w:val="26"/>
          <w:shd w:val="clear" w:color="auto" w:fill="FFFFFF"/>
        </w:rPr>
        <w:t xml:space="preserve">можно </w:t>
      </w:r>
      <w:r w:rsidRPr="00E6455C">
        <w:rPr>
          <w:sz w:val="26"/>
          <w:szCs w:val="26"/>
          <w:shd w:val="clear" w:color="auto" w:fill="FFFFFF"/>
        </w:rPr>
        <w:t>сразу после рождения или усыновления ребенка. </w:t>
      </w:r>
    </w:p>
    <w:p w:rsidR="00AE157A" w:rsidRDefault="00BC0CA7" w:rsidP="00AE157A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Кстати, с</w:t>
      </w:r>
      <w:r w:rsidR="00962089" w:rsidRPr="00E6455C">
        <w:rPr>
          <w:sz w:val="26"/>
          <w:szCs w:val="26"/>
          <w:shd w:val="clear" w:color="auto" w:fill="FFFFFF"/>
        </w:rPr>
        <w:t xml:space="preserve"> апреля 2020 года подать заявление на приобретение жилья в кредит (ипотеку) с использованием материнского капитала стало возможно непосредственно в банке, в котором открывается кредит. Заявлен</w:t>
      </w:r>
      <w:r>
        <w:rPr>
          <w:sz w:val="26"/>
          <w:szCs w:val="26"/>
          <w:shd w:val="clear" w:color="auto" w:fill="FFFFFF"/>
        </w:rPr>
        <w:t>ия и необходимые документы банк</w:t>
      </w:r>
      <w:r w:rsidR="00962089" w:rsidRPr="00E6455C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сам </w:t>
      </w:r>
      <w:proofErr w:type="spellStart"/>
      <w:r w:rsidR="00962089" w:rsidRPr="00E6455C">
        <w:rPr>
          <w:sz w:val="26"/>
          <w:szCs w:val="26"/>
          <w:shd w:val="clear" w:color="auto" w:fill="FFFFFF"/>
        </w:rPr>
        <w:t>переда</w:t>
      </w:r>
      <w:r>
        <w:rPr>
          <w:sz w:val="26"/>
          <w:szCs w:val="26"/>
          <w:shd w:val="clear" w:color="auto" w:fill="FFFFFF"/>
        </w:rPr>
        <w:t>чт</w:t>
      </w:r>
      <w:proofErr w:type="spellEnd"/>
      <w:r w:rsidR="00962089" w:rsidRPr="00E6455C">
        <w:rPr>
          <w:sz w:val="26"/>
          <w:szCs w:val="26"/>
          <w:shd w:val="clear" w:color="auto" w:fill="FFFFFF"/>
        </w:rPr>
        <w:t xml:space="preserve"> </w:t>
      </w:r>
      <w:r w:rsidR="00C25563">
        <w:rPr>
          <w:sz w:val="26"/>
          <w:szCs w:val="26"/>
          <w:shd w:val="clear" w:color="auto" w:fill="FFFFFF"/>
        </w:rPr>
        <w:t>в отделение</w:t>
      </w:r>
      <w:r w:rsidR="00962089" w:rsidRPr="00E6455C">
        <w:rPr>
          <w:sz w:val="26"/>
          <w:szCs w:val="26"/>
          <w:shd w:val="clear" w:color="auto" w:fill="FFFFFF"/>
        </w:rPr>
        <w:t xml:space="preserve"> ПФР по электронным каналам связи, что позволит ускорить распоряжение материнским капиталом.</w:t>
      </w:r>
      <w:r w:rsidR="00AE157A">
        <w:rPr>
          <w:sz w:val="26"/>
          <w:szCs w:val="26"/>
          <w:shd w:val="clear" w:color="auto" w:fill="FFFFFF"/>
        </w:rPr>
        <w:t xml:space="preserve"> Такой возможностью уже воспользовались более 8 тысяч новосибирских семей. </w:t>
      </w:r>
      <w:r w:rsidR="00AE157A">
        <w:rPr>
          <w:sz w:val="26"/>
          <w:szCs w:val="26"/>
        </w:rPr>
        <w:t>На сегодняшний день соглашения о</w:t>
      </w:r>
      <w:r w:rsidR="00AE157A" w:rsidRPr="00580E0C">
        <w:rPr>
          <w:sz w:val="26"/>
          <w:szCs w:val="26"/>
        </w:rPr>
        <w:t xml:space="preserve">тделением ПФР по Новосибирской области заключены </w:t>
      </w:r>
      <w:r w:rsidR="00AE157A">
        <w:rPr>
          <w:sz w:val="26"/>
          <w:szCs w:val="26"/>
        </w:rPr>
        <w:t>уже с 2</w:t>
      </w:r>
      <w:r w:rsidR="00AE157A" w:rsidRPr="00580E0C">
        <w:rPr>
          <w:sz w:val="26"/>
          <w:szCs w:val="26"/>
        </w:rPr>
        <w:t xml:space="preserve">2 банками региона. </w:t>
      </w:r>
      <w:r w:rsidR="00AE157A">
        <w:rPr>
          <w:sz w:val="26"/>
          <w:szCs w:val="26"/>
        </w:rPr>
        <w:t xml:space="preserve">Список банков, с которыми заключены такие соглашения, можно найти на сайте ПФР в разделе «Информация для жителей региона». </w:t>
      </w:r>
    </w:p>
    <w:p w:rsidR="00962089" w:rsidRDefault="00BC0CA7" w:rsidP="00962089">
      <w:pPr>
        <w:pStyle w:val="af6"/>
        <w:ind w:firstLine="42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Заявление о распоряжении средствами </w:t>
      </w:r>
      <w:proofErr w:type="spellStart"/>
      <w:r>
        <w:rPr>
          <w:sz w:val="26"/>
          <w:szCs w:val="26"/>
          <w:shd w:val="clear" w:color="auto" w:fill="FFFFFF"/>
        </w:rPr>
        <w:t>маткапитала</w:t>
      </w:r>
      <w:proofErr w:type="spellEnd"/>
      <w:r>
        <w:rPr>
          <w:sz w:val="26"/>
          <w:szCs w:val="26"/>
          <w:shd w:val="clear" w:color="auto" w:fill="FFFFFF"/>
        </w:rPr>
        <w:t xml:space="preserve"> можно также подать в электронном виде через портал </w:t>
      </w:r>
      <w:proofErr w:type="spellStart"/>
      <w:r>
        <w:rPr>
          <w:sz w:val="26"/>
          <w:szCs w:val="26"/>
          <w:shd w:val="clear" w:color="auto" w:fill="FFFFFF"/>
        </w:rPr>
        <w:t>госуслуг</w:t>
      </w:r>
      <w:proofErr w:type="spellEnd"/>
      <w:r>
        <w:rPr>
          <w:sz w:val="26"/>
          <w:szCs w:val="26"/>
          <w:shd w:val="clear" w:color="auto" w:fill="FFFFFF"/>
        </w:rPr>
        <w:t xml:space="preserve"> или личный кабинете на сайте ПФР, и лично, обратившись в МФЦ либо клиентскую службу ПФР, предварительно записавшись на прием. </w:t>
      </w:r>
      <w:r w:rsidR="00962089" w:rsidRPr="00E6455C">
        <w:rPr>
          <w:sz w:val="26"/>
          <w:szCs w:val="26"/>
          <w:shd w:val="clear" w:color="auto" w:fill="FFFFFF"/>
        </w:rPr>
        <w:t> </w:t>
      </w:r>
      <w:r w:rsidR="004960B4">
        <w:rPr>
          <w:sz w:val="26"/>
          <w:szCs w:val="26"/>
          <w:lang w:eastAsia="ru-RU"/>
        </w:rPr>
        <w:t>При этом никакие дополнительные документы не требуются</w:t>
      </w:r>
      <w:r w:rsidR="004960B4">
        <w:rPr>
          <w:sz w:val="26"/>
          <w:szCs w:val="26"/>
          <w:shd w:val="clear" w:color="auto" w:fill="FFFFFF"/>
        </w:rPr>
        <w:t xml:space="preserve">, так как остальные </w:t>
      </w:r>
      <w:r w:rsidR="004960B4" w:rsidRPr="006748DF">
        <w:rPr>
          <w:sz w:val="26"/>
          <w:szCs w:val="26"/>
          <w:lang w:eastAsia="ru-RU"/>
        </w:rPr>
        <w:t xml:space="preserve">необходимые </w:t>
      </w:r>
      <w:r w:rsidR="004960B4">
        <w:rPr>
          <w:sz w:val="26"/>
          <w:szCs w:val="26"/>
          <w:lang w:eastAsia="ru-RU"/>
        </w:rPr>
        <w:t>документы (</w:t>
      </w:r>
      <w:r w:rsidR="004960B4" w:rsidRPr="006748DF">
        <w:rPr>
          <w:sz w:val="26"/>
          <w:szCs w:val="26"/>
          <w:lang w:eastAsia="ru-RU"/>
        </w:rPr>
        <w:t>сведения</w:t>
      </w:r>
      <w:r w:rsidR="004960B4">
        <w:rPr>
          <w:sz w:val="26"/>
          <w:szCs w:val="26"/>
          <w:lang w:eastAsia="ru-RU"/>
        </w:rPr>
        <w:t>)</w:t>
      </w:r>
      <w:r w:rsidR="004960B4" w:rsidRPr="006748DF">
        <w:rPr>
          <w:sz w:val="26"/>
          <w:szCs w:val="26"/>
          <w:lang w:eastAsia="ru-RU"/>
        </w:rPr>
        <w:t xml:space="preserve"> специалисты ПФР запросят самостоятельно в рамках межведомственного взаимодействия.</w:t>
      </w:r>
    </w:p>
    <w:p w:rsidR="004960B4" w:rsidRPr="00181D62" w:rsidRDefault="004960B4" w:rsidP="004960B4">
      <w:pPr>
        <w:ind w:firstLine="426"/>
        <w:jc w:val="both"/>
        <w:rPr>
          <w:sz w:val="26"/>
          <w:szCs w:val="26"/>
          <w:lang w:eastAsia="ru-RU"/>
        </w:rPr>
      </w:pPr>
      <w:r w:rsidRPr="00181D62">
        <w:rPr>
          <w:spacing w:val="2"/>
          <w:sz w:val="26"/>
          <w:szCs w:val="26"/>
        </w:rPr>
        <w:t xml:space="preserve">Если семья </w:t>
      </w:r>
      <w:r>
        <w:rPr>
          <w:spacing w:val="2"/>
          <w:sz w:val="26"/>
          <w:szCs w:val="26"/>
        </w:rPr>
        <w:t xml:space="preserve">получила сертификат ранее, но </w:t>
      </w:r>
      <w:r w:rsidRPr="00181D62">
        <w:rPr>
          <w:spacing w:val="2"/>
          <w:sz w:val="26"/>
          <w:szCs w:val="26"/>
        </w:rPr>
        <w:t xml:space="preserve">еще не распорядилась капиталом, то распоряжаться они будут той суммой, которую капитал составляет на момент распоряжения (независимо от того, какая сумма указана в сертификате). </w:t>
      </w:r>
    </w:p>
    <w:p w:rsidR="004960B4" w:rsidRPr="00066604" w:rsidRDefault="004960B4" w:rsidP="004960B4">
      <w:pPr>
        <w:pStyle w:val="af"/>
        <w:ind w:left="0" w:firstLine="426"/>
        <w:rPr>
          <w:szCs w:val="26"/>
        </w:rPr>
      </w:pPr>
      <w:r w:rsidRPr="00066604">
        <w:rPr>
          <w:szCs w:val="26"/>
        </w:rPr>
        <w:t xml:space="preserve">ВНИМАНИЕ! </w:t>
      </w:r>
      <w:r w:rsidRPr="00066604">
        <w:rPr>
          <w:shd w:val="clear" w:color="auto" w:fill="FFFFFF"/>
        </w:rPr>
        <w:t xml:space="preserve">Любые схемы </w:t>
      </w:r>
      <w:proofErr w:type="spellStart"/>
      <w:r w:rsidRPr="00066604">
        <w:rPr>
          <w:shd w:val="clear" w:color="auto" w:fill="FFFFFF"/>
        </w:rPr>
        <w:t>обналичивания</w:t>
      </w:r>
      <w:proofErr w:type="spellEnd"/>
      <w:r w:rsidRPr="00066604">
        <w:rPr>
          <w:shd w:val="clear" w:color="auto" w:fill="FFFFFF"/>
        </w:rPr>
        <w:t xml:space="preserve"> средств </w:t>
      </w:r>
      <w:proofErr w:type="spellStart"/>
      <w:r>
        <w:rPr>
          <w:shd w:val="clear" w:color="auto" w:fill="FFFFFF"/>
        </w:rPr>
        <w:t>маткапитала</w:t>
      </w:r>
      <w:proofErr w:type="spellEnd"/>
      <w:r>
        <w:rPr>
          <w:shd w:val="clear" w:color="auto" w:fill="FFFFFF"/>
        </w:rPr>
        <w:t xml:space="preserve">, в том числе за счет попыток приобрести непригодное для жилья помещение, </w:t>
      </w:r>
      <w:r w:rsidRPr="00066604">
        <w:rPr>
          <w:shd w:val="clear" w:color="auto" w:fill="FFFFFF"/>
        </w:rPr>
        <w:t xml:space="preserve">являются незаконными. При этом владелец сертификата на материнский капитал, который соглашается принять участие в схемах </w:t>
      </w:r>
      <w:proofErr w:type="spellStart"/>
      <w:r w:rsidRPr="00066604">
        <w:rPr>
          <w:shd w:val="clear" w:color="auto" w:fill="FFFFFF"/>
        </w:rPr>
        <w:t>обналичивания</w:t>
      </w:r>
      <w:proofErr w:type="spellEnd"/>
      <w:r w:rsidRPr="00066604">
        <w:rPr>
          <w:shd w:val="clear" w:color="auto" w:fill="FFFFFF"/>
        </w:rPr>
        <w:t xml:space="preserve">, может быть признан соучастником по факту нецелевого использования государственных средств. </w:t>
      </w:r>
    </w:p>
    <w:p w:rsidR="004960B4" w:rsidRPr="00962089" w:rsidRDefault="004960B4" w:rsidP="00962089">
      <w:pPr>
        <w:pStyle w:val="af6"/>
        <w:ind w:firstLine="426"/>
        <w:jc w:val="both"/>
        <w:rPr>
          <w:sz w:val="26"/>
          <w:szCs w:val="26"/>
          <w:shd w:val="clear" w:color="auto" w:fill="FFFFFF"/>
        </w:rPr>
      </w:pPr>
    </w:p>
    <w:p w:rsidR="00962089" w:rsidRPr="00707C74" w:rsidRDefault="00962089" w:rsidP="00502A11">
      <w:pPr>
        <w:pStyle w:val="af6"/>
        <w:ind w:firstLine="567"/>
        <w:jc w:val="both"/>
        <w:rPr>
          <w:sz w:val="16"/>
          <w:szCs w:val="16"/>
        </w:rPr>
      </w:pP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962089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909A0"/>
    <w:multiLevelType w:val="hybridMultilevel"/>
    <w:tmpl w:val="02E67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41"/>
  </w:num>
  <w:num w:numId="5">
    <w:abstractNumId w:val="42"/>
  </w:num>
  <w:num w:numId="6">
    <w:abstractNumId w:val="1"/>
  </w:num>
  <w:num w:numId="7">
    <w:abstractNumId w:val="40"/>
  </w:num>
  <w:num w:numId="8">
    <w:abstractNumId w:val="3"/>
  </w:num>
  <w:num w:numId="9">
    <w:abstractNumId w:val="32"/>
  </w:num>
  <w:num w:numId="10">
    <w:abstractNumId w:val="36"/>
  </w:num>
  <w:num w:numId="11">
    <w:abstractNumId w:val="22"/>
  </w:num>
  <w:num w:numId="12">
    <w:abstractNumId w:val="24"/>
  </w:num>
  <w:num w:numId="13">
    <w:abstractNumId w:val="25"/>
  </w:num>
  <w:num w:numId="14">
    <w:abstractNumId w:val="43"/>
  </w:num>
  <w:num w:numId="15">
    <w:abstractNumId w:val="34"/>
  </w:num>
  <w:num w:numId="16">
    <w:abstractNumId w:val="27"/>
  </w:num>
  <w:num w:numId="17">
    <w:abstractNumId w:val="23"/>
  </w:num>
  <w:num w:numId="18">
    <w:abstractNumId w:val="30"/>
  </w:num>
  <w:num w:numId="19">
    <w:abstractNumId w:val="5"/>
  </w:num>
  <w:num w:numId="20">
    <w:abstractNumId w:val="29"/>
  </w:num>
  <w:num w:numId="21">
    <w:abstractNumId w:val="8"/>
  </w:num>
  <w:num w:numId="22">
    <w:abstractNumId w:val="37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6"/>
  </w:num>
  <w:num w:numId="29">
    <w:abstractNumId w:val="19"/>
  </w:num>
  <w:num w:numId="30">
    <w:abstractNumId w:val="47"/>
  </w:num>
  <w:num w:numId="31">
    <w:abstractNumId w:val="28"/>
  </w:num>
  <w:num w:numId="32">
    <w:abstractNumId w:val="14"/>
  </w:num>
  <w:num w:numId="33">
    <w:abstractNumId w:val="31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39"/>
  </w:num>
  <w:num w:numId="39">
    <w:abstractNumId w:val="16"/>
  </w:num>
  <w:num w:numId="40">
    <w:abstractNumId w:val="38"/>
  </w:num>
  <w:num w:numId="41">
    <w:abstractNumId w:val="10"/>
  </w:num>
  <w:num w:numId="42">
    <w:abstractNumId w:val="46"/>
  </w:num>
  <w:num w:numId="43">
    <w:abstractNumId w:val="33"/>
  </w:num>
  <w:num w:numId="44">
    <w:abstractNumId w:val="9"/>
  </w:num>
  <w:num w:numId="45">
    <w:abstractNumId w:val="15"/>
  </w:num>
  <w:num w:numId="46">
    <w:abstractNumId w:val="44"/>
  </w:num>
  <w:num w:numId="47">
    <w:abstractNumId w:val="18"/>
  </w:num>
  <w:num w:numId="48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2CBE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0B4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157A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0CA7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77440-D7B4-4F67-B580-B88877F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11</cp:revision>
  <cp:lastPrinted>2022-11-15T06:36:00Z</cp:lastPrinted>
  <dcterms:created xsi:type="dcterms:W3CDTF">2022-11-15T06:54:00Z</dcterms:created>
  <dcterms:modified xsi:type="dcterms:W3CDTF">2022-11-18T06:07:00Z</dcterms:modified>
</cp:coreProperties>
</file>