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B7B16" w:rsidRPr="00701CA1">
        <w:rPr>
          <w:b/>
          <w:bCs/>
        </w:rPr>
        <w:t>24</w:t>
      </w:r>
      <w:r w:rsidR="00274B2F">
        <w:rPr>
          <w:b/>
          <w:bCs/>
        </w:rPr>
        <w:t>.</w:t>
      </w:r>
      <w:r w:rsidR="0010203C">
        <w:rPr>
          <w:b/>
          <w:bCs/>
        </w:rPr>
        <w:t>0</w:t>
      </w:r>
      <w:r w:rsidR="0010203C" w:rsidRPr="00F534AA">
        <w:rPr>
          <w:b/>
          <w:bCs/>
        </w:rPr>
        <w:t>6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842963" w:rsidRDefault="00842963" w:rsidP="00842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260 тысяч жителей Новосибирской области получают различные доплаты к пенсии </w:t>
      </w:r>
    </w:p>
    <w:p w:rsidR="00842963" w:rsidRPr="00940C8F" w:rsidRDefault="00842963" w:rsidP="00842963">
      <w:pPr>
        <w:ind w:firstLine="567"/>
        <w:jc w:val="center"/>
        <w:rPr>
          <w:b/>
          <w:sz w:val="16"/>
          <w:szCs w:val="16"/>
        </w:rPr>
      </w:pPr>
    </w:p>
    <w:p w:rsidR="00842963" w:rsidRPr="00940C8F" w:rsidRDefault="00842963" w:rsidP="00940C8F">
      <w:pPr>
        <w:ind w:firstLine="425"/>
        <w:jc w:val="both"/>
        <w:rPr>
          <w:sz w:val="26"/>
          <w:szCs w:val="26"/>
          <w:lang w:eastAsia="ru-RU"/>
        </w:rPr>
      </w:pPr>
      <w:r w:rsidRPr="00940C8F">
        <w:rPr>
          <w:sz w:val="26"/>
          <w:szCs w:val="26"/>
        </w:rPr>
        <w:t>Отделение СФР по Новосибирской области</w:t>
      </w:r>
      <w:r w:rsidRPr="00940C8F">
        <w:rPr>
          <w:sz w:val="26"/>
          <w:szCs w:val="26"/>
          <w:lang w:eastAsia="ru-RU"/>
        </w:rPr>
        <w:t xml:space="preserve"> осуществляет свыше 260 тысячам жителей региона различные доплаты к страховой пенсии. Они назначаются в связи с возрастом, наличием определенного стажа или необходимостью пенсионера обеспечивать других членов семьи.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pStyle w:val="af7"/>
        <w:ind w:firstLine="567"/>
        <w:jc w:val="both"/>
        <w:rPr>
          <w:sz w:val="26"/>
          <w:szCs w:val="26"/>
        </w:rPr>
      </w:pPr>
      <w:r w:rsidRPr="00940C8F">
        <w:rPr>
          <w:rStyle w:val="a5"/>
          <w:i w:val="0"/>
          <w:sz w:val="26"/>
          <w:szCs w:val="26"/>
        </w:rPr>
        <w:t>Пенсионерам по достижении 80 лет производится доплата к фиксированной части страховой пенсии по старости: она увеличивается в два раза.</w:t>
      </w:r>
      <w:r w:rsidRPr="00940C8F">
        <w:rPr>
          <w:rStyle w:val="a5"/>
          <w:sz w:val="26"/>
          <w:szCs w:val="26"/>
        </w:rPr>
        <w:t xml:space="preserve"> </w:t>
      </w:r>
      <w:r w:rsidRPr="00940C8F">
        <w:rPr>
          <w:sz w:val="26"/>
          <w:szCs w:val="26"/>
        </w:rPr>
        <w:t xml:space="preserve">С 1 января 2025 года размер фиксированной выплаты  к пенсии на общих основаниях составляет 8 907,70 рублей, в двойном размере — 17 815, 40 рублей. Аналогичная доплата назначается и получателям страховой пенсии, имеющим инвалидность 1 группы. Доплата устанавливается в </w:t>
      </w:r>
      <w:proofErr w:type="spellStart"/>
      <w:r w:rsidRPr="00940C8F">
        <w:rPr>
          <w:sz w:val="26"/>
          <w:szCs w:val="26"/>
        </w:rPr>
        <w:t>проактивном</w:t>
      </w:r>
      <w:proofErr w:type="spellEnd"/>
      <w:r w:rsidRPr="00940C8F">
        <w:rPr>
          <w:sz w:val="26"/>
          <w:szCs w:val="26"/>
        </w:rPr>
        <w:t xml:space="preserve"> режиме, в региональное Отделение СФР с заявлением обращаться не нужно. 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pStyle w:val="af7"/>
        <w:ind w:firstLine="567"/>
        <w:jc w:val="both"/>
        <w:rPr>
          <w:sz w:val="26"/>
          <w:szCs w:val="26"/>
        </w:rPr>
      </w:pPr>
      <w:r w:rsidRPr="00940C8F">
        <w:rPr>
          <w:sz w:val="26"/>
          <w:szCs w:val="26"/>
        </w:rPr>
        <w:t xml:space="preserve">Доплата к фиксированной выплате страховой пенсии устанавливается также неработающим пенсионерам, которые имеют стаж не менее 30 лет в отраслях сельского хозяйства (животноводство, растениеводство, рыбоводство). Её размер составляет 25% от размера фиксированной выплаты. Доплата назначается </w:t>
      </w:r>
      <w:proofErr w:type="spellStart"/>
      <w:r w:rsidRPr="00940C8F">
        <w:rPr>
          <w:sz w:val="26"/>
          <w:szCs w:val="26"/>
        </w:rPr>
        <w:t>проактивно</w:t>
      </w:r>
      <w:proofErr w:type="spellEnd"/>
      <w:r w:rsidRPr="00940C8F">
        <w:rPr>
          <w:sz w:val="26"/>
          <w:szCs w:val="26"/>
        </w:rPr>
        <w:t xml:space="preserve"> в момент оформления страховой пенсии. При этом при переезде пенсионера из сельской местности в город назначенная надбавка сохраняется. 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pStyle w:val="af7"/>
        <w:ind w:firstLine="567"/>
        <w:jc w:val="both"/>
        <w:rPr>
          <w:sz w:val="26"/>
          <w:szCs w:val="26"/>
        </w:rPr>
      </w:pPr>
      <w:r w:rsidRPr="00940C8F">
        <w:rPr>
          <w:sz w:val="26"/>
          <w:szCs w:val="26"/>
        </w:rPr>
        <w:t xml:space="preserve">Предусмотрена доплата и за «северный» стаж. Устанавливается она гражданам, имеющим необходимый стаж работы в районах Крайнего Севера (15 лет работы в районах Крайнего Севера или 20 лет в местностях, приравненных к ним). При этом общий страховой стаж должен быть не менее 20 и 25 лет у женщин и мужчин соответственно. 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pStyle w:val="af7"/>
        <w:ind w:firstLine="567"/>
        <w:jc w:val="both"/>
        <w:rPr>
          <w:sz w:val="26"/>
          <w:szCs w:val="26"/>
        </w:rPr>
      </w:pPr>
      <w:r w:rsidRPr="00940C8F">
        <w:rPr>
          <w:sz w:val="26"/>
          <w:szCs w:val="26"/>
        </w:rPr>
        <w:t xml:space="preserve">Доплата к страховой пенсии производится также гражданам, на иждивении которых находятся нетрудоспособные члены семьи. К числу иждивенцев, за которых можно получить надбавку, относятся в первую очередь дети в возрасте до 18 лет или дети в возрасте от 18 до 23 лет, если они учатся на очном отделении. Размер доплаты зависит от количества иждивенцев. Получателями могут быть родители-пенсионеры, бабушки (прабабушки) и дедушки (прадедушки). Для установления доплаты за иждивенцев следует обратиться в МФЦ либо </w:t>
      </w:r>
      <w:r w:rsidRPr="00940C8F">
        <w:rPr>
          <w:sz w:val="26"/>
          <w:szCs w:val="26"/>
        </w:rPr>
        <w:lastRenderedPageBreak/>
        <w:t xml:space="preserve">клиентскую службу Отделения СФР по Новосибирской области с документами, подтверждающими наличие детей на иждивении. 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pStyle w:val="af7"/>
        <w:ind w:firstLine="567"/>
        <w:jc w:val="both"/>
        <w:rPr>
          <w:sz w:val="26"/>
          <w:szCs w:val="26"/>
        </w:rPr>
      </w:pPr>
      <w:r w:rsidRPr="00940C8F">
        <w:rPr>
          <w:sz w:val="26"/>
          <w:szCs w:val="26"/>
        </w:rPr>
        <w:t xml:space="preserve">Неработающим пенсионерам, чей совокупный доход ниже величины прожиточного минимума в регионе, устанавливается социальная доплата к пенсии. В Новосибирской области размер прожиточного минимума для пенсионера в 2025 году составляет 14 945 рублей. Именно до этого показателя с помощью социальной доплаты доводится совокупный доход пенсионера. Доплата устанавливается </w:t>
      </w:r>
      <w:proofErr w:type="spellStart"/>
      <w:r w:rsidRPr="00940C8F">
        <w:rPr>
          <w:sz w:val="26"/>
          <w:szCs w:val="26"/>
        </w:rPr>
        <w:t>беззаявительно</w:t>
      </w:r>
      <w:proofErr w:type="spellEnd"/>
      <w:r w:rsidRPr="00940C8F">
        <w:rPr>
          <w:sz w:val="26"/>
          <w:szCs w:val="26"/>
        </w:rPr>
        <w:t xml:space="preserve">. 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pStyle w:val="af7"/>
        <w:ind w:firstLine="567"/>
        <w:jc w:val="both"/>
        <w:rPr>
          <w:sz w:val="26"/>
          <w:szCs w:val="26"/>
        </w:rPr>
      </w:pPr>
      <w:r w:rsidRPr="00940C8F">
        <w:rPr>
          <w:sz w:val="26"/>
          <w:szCs w:val="26"/>
        </w:rPr>
        <w:t xml:space="preserve">С 1 января 2025 года всем пенсионерам региона, достигшим возраста 80 лет или имеющим инвалидность 1 группы, Отделение СФР по Новосибирской области установило доплату к пенсии, которая заменила компенсационную выплату по уходу. Доплата </w:t>
      </w:r>
      <w:proofErr w:type="spellStart"/>
      <w:r w:rsidRPr="00940C8F">
        <w:rPr>
          <w:sz w:val="26"/>
          <w:szCs w:val="26"/>
        </w:rPr>
        <w:t>проактивно</w:t>
      </w:r>
      <w:proofErr w:type="spellEnd"/>
      <w:r w:rsidRPr="00940C8F">
        <w:rPr>
          <w:sz w:val="26"/>
          <w:szCs w:val="26"/>
        </w:rPr>
        <w:t xml:space="preserve"> (</w:t>
      </w:r>
      <w:proofErr w:type="spellStart"/>
      <w:r w:rsidRPr="00940C8F">
        <w:rPr>
          <w:sz w:val="26"/>
          <w:szCs w:val="26"/>
        </w:rPr>
        <w:t>беззаявительно</w:t>
      </w:r>
      <w:proofErr w:type="spellEnd"/>
      <w:r w:rsidRPr="00940C8F">
        <w:rPr>
          <w:sz w:val="26"/>
          <w:szCs w:val="26"/>
        </w:rPr>
        <w:t xml:space="preserve">) назначена всем новосибирцам указанной категории независимо от того, установлена ли была выплата по уходу за ними или нет. Благодаря этому число получателей надбавки к пенсии стало значительно больше, чем граждан, кому была ранее установлена выплата по уходу. Доплата стала частью пенсии и индексируется вместе с ней. </w:t>
      </w:r>
    </w:p>
    <w:p w:rsidR="00842963" w:rsidRPr="00940C8F" w:rsidRDefault="00842963" w:rsidP="00940C8F">
      <w:pPr>
        <w:pStyle w:val="af7"/>
        <w:ind w:firstLine="567"/>
        <w:jc w:val="both"/>
        <w:rPr>
          <w:sz w:val="16"/>
          <w:szCs w:val="16"/>
        </w:rPr>
      </w:pPr>
    </w:p>
    <w:p w:rsidR="00842963" w:rsidRPr="00940C8F" w:rsidRDefault="00842963" w:rsidP="00940C8F">
      <w:pPr>
        <w:ind w:firstLine="567"/>
        <w:jc w:val="both"/>
        <w:rPr>
          <w:sz w:val="26"/>
          <w:szCs w:val="26"/>
        </w:rPr>
      </w:pPr>
      <w:r w:rsidRPr="00940C8F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42963" w:rsidRPr="00940C8F" w:rsidRDefault="00842963" w:rsidP="00842963">
      <w:pPr>
        <w:spacing w:line="360" w:lineRule="auto"/>
        <w:ind w:firstLine="567"/>
        <w:jc w:val="both"/>
        <w:rPr>
          <w:sz w:val="16"/>
          <w:szCs w:val="16"/>
        </w:rPr>
      </w:pPr>
    </w:p>
    <w:p w:rsidR="00842963" w:rsidRDefault="00842963" w:rsidP="00842963">
      <w:pPr>
        <w:jc w:val="both"/>
      </w:pPr>
      <w:r>
        <w:t xml:space="preserve">Отделение СФР по Новосибирской области в </w:t>
      </w:r>
      <w:proofErr w:type="spellStart"/>
      <w:r>
        <w:t>соцсетях</w:t>
      </w:r>
      <w:proofErr w:type="spellEnd"/>
      <w:r>
        <w:t xml:space="preserve">:  </w:t>
      </w:r>
    </w:p>
    <w:p w:rsidR="00842963" w:rsidRDefault="00842963" w:rsidP="00842963">
      <w:pPr>
        <w:jc w:val="both"/>
      </w:pPr>
      <w:r>
        <w:t xml:space="preserve">ВК </w:t>
      </w:r>
      <w:hyperlink r:id="rId9" w:history="1">
        <w:r>
          <w:rPr>
            <w:rStyle w:val="a3"/>
          </w:rPr>
          <w:t>https://vk.com/sfr.novosibirskayaoblast</w:t>
        </w:r>
      </w:hyperlink>
      <w:r>
        <w:t xml:space="preserve"> ,</w:t>
      </w:r>
    </w:p>
    <w:p w:rsidR="00842963" w:rsidRDefault="00842963" w:rsidP="00842963">
      <w:pPr>
        <w:jc w:val="both"/>
      </w:pPr>
      <w:r>
        <w:t xml:space="preserve">Одноклассники </w:t>
      </w:r>
      <w:hyperlink r:id="rId10" w:history="1">
        <w:r>
          <w:rPr>
            <w:rStyle w:val="a3"/>
          </w:rPr>
          <w:t>https://ok.ru/sfr.novosibirskayaoblast/topics</w:t>
        </w:r>
      </w:hyperlink>
      <w:r>
        <w:t xml:space="preserve"> , </w:t>
      </w:r>
    </w:p>
    <w:p w:rsidR="00842963" w:rsidRDefault="00842963" w:rsidP="00842963">
      <w:pPr>
        <w:jc w:val="both"/>
        <w:rPr>
          <w:lang w:val="en-US"/>
        </w:rPr>
      </w:pPr>
      <w:r>
        <w:rPr>
          <w:lang w:val="en-US"/>
        </w:rPr>
        <w:t>Telegram-</w:t>
      </w:r>
      <w:r>
        <w:t>канал</w:t>
      </w:r>
      <w:r>
        <w:rPr>
          <w:lang w:val="en-US"/>
        </w:rPr>
        <w:t xml:space="preserve"> </w:t>
      </w:r>
      <w:hyperlink r:id="rId11" w:history="1">
        <w:r>
          <w:rPr>
            <w:rStyle w:val="a3"/>
            <w:lang w:val="en-US"/>
          </w:rPr>
          <w:t>https://t.me/sfr_novosibirskayaoblast</w:t>
        </w:r>
      </w:hyperlink>
      <w:r>
        <w:rPr>
          <w:lang w:val="en-US"/>
        </w:rPr>
        <w:t xml:space="preserve">  </w:t>
      </w:r>
    </w:p>
    <w:p w:rsidR="00DD0850" w:rsidRDefault="00DD0850" w:rsidP="001A7353">
      <w:pPr>
        <w:jc w:val="center"/>
        <w:rPr>
          <w:lang w:val="en-US"/>
        </w:rPr>
      </w:pPr>
    </w:p>
    <w:p w:rsidR="00940C8F" w:rsidRDefault="00940C8F" w:rsidP="00940C8F">
      <w:pPr>
        <w:ind w:firstLine="567"/>
        <w:jc w:val="right"/>
        <w:rPr>
          <w:lang w:val="en-US"/>
        </w:rPr>
      </w:pPr>
    </w:p>
    <w:p w:rsidR="00940C8F" w:rsidRPr="00A25CFA" w:rsidRDefault="00940C8F" w:rsidP="00940C8F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940C8F" w:rsidRPr="00F316C8" w:rsidRDefault="00940C8F" w:rsidP="001A7353">
      <w:pPr>
        <w:jc w:val="center"/>
        <w:rPr>
          <w:lang w:val="en-US"/>
        </w:rPr>
      </w:pPr>
      <w:bookmarkStart w:id="0" w:name="_GoBack"/>
      <w:bookmarkEnd w:id="0"/>
    </w:p>
    <w:sectPr w:rsidR="00940C8F" w:rsidRPr="00F316C8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754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03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01E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46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2C3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37E04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2A49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979CF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76F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187E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49A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FF3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D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2F93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D7DEF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2E88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4EBC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5E4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2E0F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CA1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891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73E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3A3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57DC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3AD0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0999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BA1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2963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84D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E17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8D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685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0C8F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412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378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9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1C86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2EB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409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B59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5B51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1B8F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87CEA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F0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3BB7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16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4FD6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6EE1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4E0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A"/>
    <w:rsid w:val="00F53D07"/>
    <w:rsid w:val="00F5409D"/>
    <w:rsid w:val="00F5509C"/>
    <w:rsid w:val="00F55104"/>
    <w:rsid w:val="00F55D79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6398-235A-4CE4-8DA4-776BC94D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2025-06-16T06:03:00Z</dcterms:created>
  <dcterms:modified xsi:type="dcterms:W3CDTF">2025-06-24T02:38:00Z</dcterms:modified>
</cp:coreProperties>
</file>