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3A" w:rsidRPr="00373A3A" w:rsidRDefault="00373A3A" w:rsidP="00373A3A">
      <w:pPr>
        <w:pStyle w:val="2"/>
        <w:rPr>
          <w:b w:val="0"/>
        </w:rPr>
      </w:pPr>
      <w:r w:rsidRPr="00373A3A">
        <w:rPr>
          <w:b w:val="0"/>
        </w:rPr>
        <w:t>АДМИНИСТРАЦИЯ</w:t>
      </w:r>
    </w:p>
    <w:p w:rsidR="00373A3A" w:rsidRPr="00373A3A" w:rsidRDefault="00373A3A" w:rsidP="00373A3A">
      <w:pPr>
        <w:pStyle w:val="2"/>
        <w:rPr>
          <w:b w:val="0"/>
        </w:rPr>
      </w:pPr>
      <w:r w:rsidRPr="00373A3A">
        <w:rPr>
          <w:b w:val="0"/>
        </w:rPr>
        <w:t>НОВОТРОИЦКОГО СЕЛЬСОВЕТА</w:t>
      </w:r>
    </w:p>
    <w:p w:rsidR="00373A3A" w:rsidRPr="00373A3A" w:rsidRDefault="00373A3A" w:rsidP="00373A3A">
      <w:pPr>
        <w:pStyle w:val="2"/>
        <w:rPr>
          <w:b w:val="0"/>
        </w:rPr>
      </w:pPr>
      <w:r w:rsidRPr="00373A3A">
        <w:rPr>
          <w:b w:val="0"/>
        </w:rPr>
        <w:t>СЕВЕРНОГО РАЙОНА</w:t>
      </w:r>
    </w:p>
    <w:p w:rsidR="00373A3A" w:rsidRPr="00373A3A" w:rsidRDefault="00373A3A" w:rsidP="00373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73A3A" w:rsidRPr="00373A3A" w:rsidRDefault="00373A3A" w:rsidP="00373A3A">
      <w:pPr>
        <w:pStyle w:val="2"/>
        <w:rPr>
          <w:b w:val="0"/>
        </w:rPr>
      </w:pPr>
    </w:p>
    <w:p w:rsidR="00373A3A" w:rsidRPr="00373A3A" w:rsidRDefault="00373A3A" w:rsidP="00373A3A">
      <w:pPr>
        <w:pStyle w:val="2"/>
      </w:pPr>
      <w:proofErr w:type="gramStart"/>
      <w:r w:rsidRPr="00373A3A">
        <w:t>П</w:t>
      </w:r>
      <w:proofErr w:type="gramEnd"/>
      <w:r w:rsidRPr="00373A3A">
        <w:t xml:space="preserve"> О С Т А Н О В Л Е Н И Е</w:t>
      </w:r>
    </w:p>
    <w:p w:rsidR="00373A3A" w:rsidRPr="00373A3A" w:rsidRDefault="00373A3A" w:rsidP="00373A3A">
      <w:pPr>
        <w:pStyle w:val="2"/>
        <w:rPr>
          <w:b w:val="0"/>
        </w:rPr>
      </w:pPr>
    </w:p>
    <w:p w:rsidR="00373A3A" w:rsidRPr="00373A3A" w:rsidRDefault="006358B2" w:rsidP="00373A3A">
      <w:pPr>
        <w:pStyle w:val="2"/>
        <w:rPr>
          <w:b w:val="0"/>
        </w:rPr>
      </w:pPr>
      <w:r>
        <w:rPr>
          <w:b w:val="0"/>
        </w:rPr>
        <w:t>19</w:t>
      </w:r>
      <w:r w:rsidR="00373A3A" w:rsidRPr="00373A3A">
        <w:rPr>
          <w:b w:val="0"/>
        </w:rPr>
        <w:t>.0</w:t>
      </w:r>
      <w:r>
        <w:rPr>
          <w:b w:val="0"/>
        </w:rPr>
        <w:t>1</w:t>
      </w:r>
      <w:r w:rsidR="00373A3A" w:rsidRPr="00373A3A">
        <w:rPr>
          <w:b w:val="0"/>
        </w:rPr>
        <w:t>.201</w:t>
      </w:r>
      <w:r>
        <w:rPr>
          <w:b w:val="0"/>
        </w:rPr>
        <w:t>6</w:t>
      </w:r>
      <w:r w:rsidR="00373A3A" w:rsidRPr="00373A3A">
        <w:rPr>
          <w:b w:val="0"/>
        </w:rPr>
        <w:t xml:space="preserve">                                  с</w:t>
      </w:r>
      <w:proofErr w:type="gramStart"/>
      <w:r w:rsidR="00373A3A" w:rsidRPr="00373A3A">
        <w:rPr>
          <w:b w:val="0"/>
        </w:rPr>
        <w:t>.Н</w:t>
      </w:r>
      <w:proofErr w:type="gramEnd"/>
      <w:r w:rsidR="00373A3A" w:rsidRPr="00373A3A">
        <w:rPr>
          <w:b w:val="0"/>
        </w:rPr>
        <w:t xml:space="preserve">овотроицк                                        № </w:t>
      </w:r>
      <w:r>
        <w:rPr>
          <w:b w:val="0"/>
        </w:rPr>
        <w:t>4</w:t>
      </w:r>
    </w:p>
    <w:p w:rsidR="00373A3A" w:rsidRPr="00373A3A" w:rsidRDefault="00373A3A" w:rsidP="00373A3A">
      <w:pPr>
        <w:pStyle w:val="ConsPlusTitle"/>
        <w:jc w:val="center"/>
        <w:outlineLvl w:val="0"/>
        <w:rPr>
          <w:b w:val="0"/>
        </w:rPr>
      </w:pPr>
    </w:p>
    <w:p w:rsidR="00373A3A" w:rsidRPr="00373A3A" w:rsidRDefault="00373A3A" w:rsidP="00373A3A">
      <w:pPr>
        <w:pStyle w:val="ConsPlusTitle"/>
        <w:jc w:val="center"/>
        <w:outlineLvl w:val="0"/>
        <w:rPr>
          <w:b w:val="0"/>
        </w:rPr>
      </w:pPr>
      <w:r w:rsidRPr="00373A3A">
        <w:rPr>
          <w:b w:val="0"/>
        </w:rPr>
        <w:t>О порядке проведения и критериях оценки эффективности</w:t>
      </w:r>
    </w:p>
    <w:p w:rsidR="00373A3A" w:rsidRPr="00373A3A" w:rsidRDefault="00373A3A" w:rsidP="00373A3A">
      <w:pPr>
        <w:pStyle w:val="ConsPlusTitle"/>
        <w:jc w:val="center"/>
        <w:outlineLvl w:val="0"/>
        <w:rPr>
          <w:b w:val="0"/>
        </w:rPr>
      </w:pPr>
      <w:r w:rsidRPr="00373A3A">
        <w:rPr>
          <w:b w:val="0"/>
        </w:rPr>
        <w:t xml:space="preserve">реализации </w:t>
      </w:r>
      <w:r w:rsidR="006358B2">
        <w:rPr>
          <w:b w:val="0"/>
        </w:rPr>
        <w:t>муниципальных</w:t>
      </w:r>
      <w:r w:rsidRPr="00373A3A">
        <w:rPr>
          <w:b w:val="0"/>
        </w:rPr>
        <w:t xml:space="preserve"> программ Новотроицкого сельсовета Северного района Новосибирской области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A3A" w:rsidRPr="00373A3A" w:rsidRDefault="006358B2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73A3A" w:rsidRPr="00373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hyperlink r:id="rId4" w:history="1">
        <w:r w:rsidRPr="006358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</w:t>
        </w:r>
        <w:r w:rsidR="00373A3A" w:rsidRPr="006358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179</w:t>
        </w:r>
      </w:hyperlink>
      <w:r w:rsidR="00373A3A" w:rsidRPr="00373A3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установления единого подхода к проведению и критериям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73A3A" w:rsidRPr="00373A3A">
        <w:rPr>
          <w:rFonts w:ascii="Times New Roman" w:hAnsi="Times New Roman" w:cs="Times New Roman"/>
          <w:sz w:val="28"/>
          <w:szCs w:val="28"/>
        </w:rPr>
        <w:t xml:space="preserve"> программ, реализуемых за счет средств местного бюджета Новотроицкого сельсовета Северного района Новосибирской области, администрация Новотроицкого  сельсовета Северного района Новосибирской области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5" w:history="1">
        <w:r w:rsidRPr="00B93A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373A3A">
        <w:rPr>
          <w:rFonts w:ascii="Times New Roman" w:hAnsi="Times New Roman" w:cs="Times New Roman"/>
          <w:sz w:val="28"/>
          <w:szCs w:val="28"/>
        </w:rPr>
        <w:t xml:space="preserve"> проведения и критерии оценки эффективности реализации </w:t>
      </w:r>
      <w:r w:rsidR="006358B2">
        <w:rPr>
          <w:rFonts w:ascii="Times New Roman" w:hAnsi="Times New Roman" w:cs="Times New Roman"/>
          <w:sz w:val="28"/>
          <w:szCs w:val="28"/>
        </w:rPr>
        <w:t>муниципальных</w:t>
      </w:r>
      <w:r w:rsidR="006358B2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>программ, реализуемых за счет средств местного бюджета Новотроицкого сельсовета Северного района Новосибирской области (приложение).</w:t>
      </w:r>
    </w:p>
    <w:p w:rsid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2. Опубликовать в периодическом печатном издании «Вестник Новотроицкого сельсовета»  и разместить на официальном сайте администрации Северного района Новосибирской области в разделе «Поселение»</w:t>
      </w:r>
      <w:r w:rsidR="00B93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A66"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 w:rsidR="00B93A6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73A3A">
        <w:rPr>
          <w:rFonts w:ascii="Times New Roman" w:hAnsi="Times New Roman" w:cs="Times New Roman"/>
          <w:sz w:val="28"/>
          <w:szCs w:val="28"/>
        </w:rPr>
        <w:t>.</w:t>
      </w:r>
    </w:p>
    <w:p w:rsidR="006358B2" w:rsidRPr="006358B2" w:rsidRDefault="006358B2" w:rsidP="006358B2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    </w:t>
      </w:r>
      <w:r w:rsidRPr="006358B2">
        <w:rPr>
          <w:b w:val="0"/>
        </w:rPr>
        <w:t>3. Считать утратившую с</w:t>
      </w:r>
      <w:r>
        <w:rPr>
          <w:b w:val="0"/>
        </w:rPr>
        <w:t xml:space="preserve">илу постановление администрации </w:t>
      </w:r>
      <w:r w:rsidRPr="006358B2">
        <w:rPr>
          <w:b w:val="0"/>
        </w:rPr>
        <w:t>Новотроицкого сельсовета Северного района Новосибирской области от 21.07.2015 № 103 «О порядк</w:t>
      </w:r>
      <w:r>
        <w:rPr>
          <w:b w:val="0"/>
        </w:rPr>
        <w:t xml:space="preserve">е проведения и критериях </w:t>
      </w:r>
      <w:proofErr w:type="gramStart"/>
      <w:r>
        <w:rPr>
          <w:b w:val="0"/>
        </w:rPr>
        <w:t xml:space="preserve">оценки </w:t>
      </w:r>
      <w:r w:rsidRPr="006358B2">
        <w:rPr>
          <w:b w:val="0"/>
        </w:rPr>
        <w:t>эффективности</w:t>
      </w:r>
      <w:r>
        <w:rPr>
          <w:b w:val="0"/>
        </w:rPr>
        <w:t xml:space="preserve"> </w:t>
      </w:r>
      <w:r w:rsidRPr="006358B2">
        <w:rPr>
          <w:b w:val="0"/>
        </w:rPr>
        <w:t xml:space="preserve">реализации </w:t>
      </w:r>
      <w:r>
        <w:rPr>
          <w:b w:val="0"/>
        </w:rPr>
        <w:t xml:space="preserve">долгосрочных целевых </w:t>
      </w:r>
      <w:r w:rsidRPr="006358B2">
        <w:rPr>
          <w:b w:val="0"/>
        </w:rPr>
        <w:t xml:space="preserve"> программ Новотроицкого сельсовета Северного района Новосибирской области</w:t>
      </w:r>
      <w:proofErr w:type="gramEnd"/>
      <w:r w:rsidRPr="006358B2">
        <w:rPr>
          <w:b w:val="0"/>
        </w:rPr>
        <w:t>»</w:t>
      </w:r>
    </w:p>
    <w:p w:rsidR="00373A3A" w:rsidRPr="00373A3A" w:rsidRDefault="006358B2" w:rsidP="006358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3A3A" w:rsidRPr="00373A3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373A3A" w:rsidRPr="00373A3A" w:rsidRDefault="006358B2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3A3A" w:rsidRPr="00373A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3A3A" w:rsidRPr="00373A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3A3A" w:rsidRPr="00373A3A">
        <w:rPr>
          <w:rFonts w:ascii="Times New Roman" w:hAnsi="Times New Roman" w:cs="Times New Roman"/>
          <w:sz w:val="28"/>
          <w:szCs w:val="28"/>
        </w:rPr>
        <w:t xml:space="preserve"> исполнением настоящего оставляю за собой.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A3A" w:rsidRPr="00373A3A" w:rsidRDefault="006358B2" w:rsidP="00373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73A3A" w:rsidRPr="00373A3A"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</w:t>
      </w:r>
      <w:proofErr w:type="spellStart"/>
      <w:r w:rsidRPr="00373A3A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A3A" w:rsidRDefault="00373A3A" w:rsidP="006358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Новотроицкого сельсовета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                                                Северного района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Новосибирской области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</w:t>
      </w:r>
      <w:r w:rsidR="006358B2">
        <w:rPr>
          <w:rFonts w:ascii="Times New Roman" w:hAnsi="Times New Roman" w:cs="Times New Roman"/>
          <w:sz w:val="28"/>
          <w:szCs w:val="28"/>
        </w:rPr>
        <w:t>19</w:t>
      </w:r>
      <w:r w:rsidRPr="00373A3A">
        <w:rPr>
          <w:rFonts w:ascii="Times New Roman" w:hAnsi="Times New Roman" w:cs="Times New Roman"/>
          <w:sz w:val="28"/>
          <w:szCs w:val="28"/>
        </w:rPr>
        <w:t>.0</w:t>
      </w:r>
      <w:r w:rsidR="006358B2">
        <w:rPr>
          <w:rFonts w:ascii="Times New Roman" w:hAnsi="Times New Roman" w:cs="Times New Roman"/>
          <w:sz w:val="28"/>
          <w:szCs w:val="28"/>
        </w:rPr>
        <w:t>1</w:t>
      </w:r>
      <w:r w:rsidRPr="00373A3A">
        <w:rPr>
          <w:rFonts w:ascii="Times New Roman" w:hAnsi="Times New Roman" w:cs="Times New Roman"/>
          <w:sz w:val="28"/>
          <w:szCs w:val="28"/>
        </w:rPr>
        <w:t>.201</w:t>
      </w:r>
      <w:r w:rsidR="006358B2">
        <w:rPr>
          <w:rFonts w:ascii="Times New Roman" w:hAnsi="Times New Roman" w:cs="Times New Roman"/>
          <w:sz w:val="28"/>
          <w:szCs w:val="28"/>
        </w:rPr>
        <w:t>6</w:t>
      </w:r>
      <w:r w:rsidRPr="00373A3A">
        <w:rPr>
          <w:rFonts w:ascii="Times New Roman" w:hAnsi="Times New Roman" w:cs="Times New Roman"/>
          <w:sz w:val="28"/>
          <w:szCs w:val="28"/>
        </w:rPr>
        <w:t xml:space="preserve"> № </w:t>
      </w:r>
      <w:r w:rsidR="006358B2">
        <w:rPr>
          <w:rFonts w:ascii="Times New Roman" w:hAnsi="Times New Roman" w:cs="Times New Roman"/>
          <w:sz w:val="28"/>
          <w:szCs w:val="28"/>
        </w:rPr>
        <w:t>4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A3A" w:rsidRPr="00B93A66" w:rsidRDefault="0006465A" w:rsidP="00373A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373A3A" w:rsidRPr="00B93A66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Порядок</w:t>
        </w:r>
      </w:hyperlink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3A3A">
        <w:rPr>
          <w:rFonts w:ascii="Times New Roman" w:hAnsi="Times New Roman" w:cs="Times New Roman"/>
          <w:b/>
          <w:sz w:val="28"/>
          <w:szCs w:val="28"/>
        </w:rPr>
        <w:t xml:space="preserve">проведения и критерии оценки эффективности реализации </w:t>
      </w:r>
      <w:r w:rsidR="006358B2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373A3A">
        <w:rPr>
          <w:rFonts w:ascii="Times New Roman" w:hAnsi="Times New Roman" w:cs="Times New Roman"/>
          <w:b/>
          <w:sz w:val="28"/>
          <w:szCs w:val="28"/>
        </w:rPr>
        <w:t xml:space="preserve"> программ, реализуемых за счет </w:t>
      </w:r>
      <w:proofErr w:type="gramStart"/>
      <w:r w:rsidRPr="00373A3A">
        <w:rPr>
          <w:rFonts w:ascii="Times New Roman" w:hAnsi="Times New Roman" w:cs="Times New Roman"/>
          <w:b/>
          <w:sz w:val="28"/>
          <w:szCs w:val="28"/>
        </w:rPr>
        <w:t>средств местного бюджета Новотроицкого сельсовета Северного района Новосибирской области</w:t>
      </w:r>
      <w:proofErr w:type="gramEnd"/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73A3A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и критерии оценки эффективности реализации </w:t>
      </w:r>
      <w:r w:rsidR="006358B2">
        <w:rPr>
          <w:rFonts w:ascii="Times New Roman" w:hAnsi="Times New Roman" w:cs="Times New Roman"/>
          <w:sz w:val="28"/>
          <w:szCs w:val="28"/>
        </w:rPr>
        <w:t>муниципальных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программ, реализуемых за счет средств местного бюджета Новотроицкого сельсовета Северного района Новосибирской области (далее - Порядок), определяет правила проведения оценки эффективности мероприятий </w:t>
      </w:r>
      <w:r w:rsidR="006358B2">
        <w:rPr>
          <w:rFonts w:ascii="Times New Roman" w:hAnsi="Times New Roman" w:cs="Times New Roman"/>
          <w:sz w:val="28"/>
          <w:szCs w:val="28"/>
        </w:rPr>
        <w:t>муниципальных</w:t>
      </w:r>
      <w:r w:rsidR="006358B2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 xml:space="preserve">программ Новотроицкого сельсовета Северного района Новосибирской области, реализуемых за счет средств бюджета Новотроицкого сельсовета Северного района Новосибирской области (далее - </w:t>
      </w:r>
      <w:r w:rsidR="006358B2">
        <w:rPr>
          <w:rFonts w:ascii="Times New Roman" w:hAnsi="Times New Roman" w:cs="Times New Roman"/>
          <w:sz w:val="28"/>
          <w:szCs w:val="28"/>
        </w:rPr>
        <w:t>муниципальная</w:t>
      </w:r>
      <w:r w:rsidR="006358B2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>программа), и критерии указанной оценки.</w:t>
      </w:r>
      <w:proofErr w:type="gramEnd"/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2. Оценка эффективности и результативности реализации </w:t>
      </w:r>
      <w:r w:rsidR="006358B2">
        <w:rPr>
          <w:rFonts w:ascii="Times New Roman" w:hAnsi="Times New Roman" w:cs="Times New Roman"/>
          <w:sz w:val="28"/>
          <w:szCs w:val="28"/>
        </w:rPr>
        <w:t>муниципальных</w:t>
      </w:r>
      <w:r w:rsidR="006358B2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 xml:space="preserve">программ проводится по итогам их реализации за отчетный финансовый год и в целом после завершения реализации </w:t>
      </w:r>
      <w:r w:rsidR="006358B2">
        <w:rPr>
          <w:rFonts w:ascii="Times New Roman" w:hAnsi="Times New Roman" w:cs="Times New Roman"/>
          <w:sz w:val="28"/>
          <w:szCs w:val="28"/>
        </w:rPr>
        <w:t>муниципальных</w:t>
      </w:r>
      <w:r w:rsidR="006358B2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>программ.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3. Критериями оценки эффективности и результативности реализации </w:t>
      </w:r>
      <w:r w:rsidR="006358B2">
        <w:rPr>
          <w:rFonts w:ascii="Times New Roman" w:hAnsi="Times New Roman" w:cs="Times New Roman"/>
          <w:sz w:val="28"/>
          <w:szCs w:val="28"/>
        </w:rPr>
        <w:t>муниципальных</w:t>
      </w:r>
      <w:r w:rsidR="006358B2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>программ являются: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1) степень достижения заявленных результатов реализации </w:t>
      </w:r>
      <w:r w:rsidR="006358B2">
        <w:rPr>
          <w:rFonts w:ascii="Times New Roman" w:hAnsi="Times New Roman" w:cs="Times New Roman"/>
          <w:sz w:val="28"/>
          <w:szCs w:val="28"/>
        </w:rPr>
        <w:t>муниципальных</w:t>
      </w:r>
      <w:r w:rsidR="006358B2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>программ;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2) процент отклонения достигнутых показателей результативности </w:t>
      </w:r>
      <w:proofErr w:type="gramStart"/>
      <w:r w:rsidRPr="00373A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3A3A">
        <w:rPr>
          <w:rFonts w:ascii="Times New Roman" w:hAnsi="Times New Roman" w:cs="Times New Roman"/>
          <w:sz w:val="28"/>
          <w:szCs w:val="28"/>
        </w:rPr>
        <w:t xml:space="preserve"> плановых;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3) динамика расходов на реализацию мероприятий </w:t>
      </w:r>
      <w:r w:rsidR="006358B2">
        <w:rPr>
          <w:rFonts w:ascii="Times New Roman" w:hAnsi="Times New Roman" w:cs="Times New Roman"/>
          <w:sz w:val="28"/>
          <w:szCs w:val="28"/>
        </w:rPr>
        <w:t>муниципальных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4) динамика показателей эффективности и результативности реализации </w:t>
      </w:r>
      <w:r w:rsidR="006358B2">
        <w:rPr>
          <w:rFonts w:ascii="Times New Roman" w:hAnsi="Times New Roman" w:cs="Times New Roman"/>
          <w:sz w:val="28"/>
          <w:szCs w:val="28"/>
        </w:rPr>
        <w:t>муниципальных</w:t>
      </w:r>
      <w:r w:rsidR="006358B2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>программ.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4. Исполнители </w:t>
      </w:r>
      <w:r w:rsidR="00EC52E2">
        <w:rPr>
          <w:rFonts w:ascii="Times New Roman" w:hAnsi="Times New Roman" w:cs="Times New Roman"/>
          <w:sz w:val="28"/>
          <w:szCs w:val="28"/>
        </w:rPr>
        <w:t>муниципальных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 готовят отчет, в котором отражаются качественные и количественные результаты выполнения </w:t>
      </w:r>
      <w:r w:rsidR="006358B2">
        <w:rPr>
          <w:rFonts w:ascii="Times New Roman" w:hAnsi="Times New Roman" w:cs="Times New Roman"/>
          <w:sz w:val="28"/>
          <w:szCs w:val="28"/>
        </w:rPr>
        <w:t>муниципальных</w:t>
      </w:r>
      <w:r w:rsidR="006358B2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>программ, приводится анализ достигнутых результатов, их соответствия плановым показателям, результаты соотношения достигнутых показателей к потраченным ресурсам.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5. Для подготовки заключения об эффективности и результативности </w:t>
      </w:r>
      <w:r w:rsidR="00EE53C4">
        <w:rPr>
          <w:rFonts w:ascii="Times New Roman" w:hAnsi="Times New Roman" w:cs="Times New Roman"/>
          <w:sz w:val="28"/>
          <w:szCs w:val="28"/>
        </w:rPr>
        <w:t>муниципальной</w:t>
      </w:r>
      <w:r w:rsidR="006358B2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 xml:space="preserve">программы и определения объемов финансирования программы на очередной финансовый год пакет документов по оценке </w:t>
      </w:r>
      <w:r w:rsidRPr="00373A3A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и результативности реализации </w:t>
      </w:r>
      <w:r w:rsidR="006358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358B2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>программы направляется исполнителями Главе Новотроицкого сельсовета Северного района Новосибирской области и должен содержать: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1) пояснительную записку;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B93A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анализ</w:t>
        </w:r>
      </w:hyperlink>
      <w:r w:rsidRPr="00373A3A">
        <w:rPr>
          <w:rFonts w:ascii="Times New Roman" w:hAnsi="Times New Roman" w:cs="Times New Roman"/>
          <w:sz w:val="28"/>
          <w:szCs w:val="28"/>
        </w:rPr>
        <w:t xml:space="preserve"> объемов финансирования мероприятий </w:t>
      </w:r>
      <w:r w:rsidR="00C17733">
        <w:rPr>
          <w:rFonts w:ascii="Times New Roman" w:hAnsi="Times New Roman" w:cs="Times New Roman"/>
          <w:sz w:val="28"/>
          <w:szCs w:val="28"/>
        </w:rPr>
        <w:t>муниципальной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 (таблица N 1 приложения к Порядку);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3) </w:t>
      </w:r>
      <w:hyperlink r:id="rId8" w:history="1">
        <w:r w:rsidRPr="00B93A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анализ</w:t>
        </w:r>
      </w:hyperlink>
      <w:r w:rsidRPr="00373A3A">
        <w:rPr>
          <w:rFonts w:ascii="Times New Roman" w:hAnsi="Times New Roman" w:cs="Times New Roman"/>
          <w:sz w:val="28"/>
          <w:szCs w:val="28"/>
        </w:rPr>
        <w:t xml:space="preserve"> достижения показателей-индикаторов результативности </w:t>
      </w:r>
      <w:r w:rsidR="00C17733">
        <w:rPr>
          <w:rFonts w:ascii="Times New Roman" w:hAnsi="Times New Roman" w:cs="Times New Roman"/>
          <w:sz w:val="28"/>
          <w:szCs w:val="28"/>
        </w:rPr>
        <w:t>муниципальной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 (таблица N 2 приложения к Порядку);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4) </w:t>
      </w:r>
      <w:hyperlink r:id="rId9" w:history="1">
        <w:r w:rsidRPr="00B93A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оценку</w:t>
        </w:r>
      </w:hyperlink>
      <w:r w:rsidRPr="00373A3A">
        <w:rPr>
          <w:rFonts w:ascii="Times New Roman" w:hAnsi="Times New Roman" w:cs="Times New Roman"/>
          <w:sz w:val="28"/>
          <w:szCs w:val="28"/>
        </w:rPr>
        <w:t xml:space="preserve"> эффективности реализации </w:t>
      </w:r>
      <w:r w:rsidR="00C17733">
        <w:rPr>
          <w:rFonts w:ascii="Times New Roman" w:hAnsi="Times New Roman" w:cs="Times New Roman"/>
          <w:sz w:val="28"/>
          <w:szCs w:val="28"/>
        </w:rPr>
        <w:t>муниципальной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 (таблица N 3 приложения к Порядку).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6. Оценка результативности реализации </w:t>
      </w:r>
      <w:r w:rsidR="00C17733">
        <w:rPr>
          <w:rFonts w:ascii="Times New Roman" w:hAnsi="Times New Roman" w:cs="Times New Roman"/>
          <w:sz w:val="28"/>
          <w:szCs w:val="28"/>
        </w:rPr>
        <w:t>муниципальной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 представляет собой определение степени достижения запланированных результатов.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При проведении оценки планируемой эффективности </w:t>
      </w:r>
      <w:r w:rsidR="00C177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3A3A">
        <w:rPr>
          <w:rFonts w:ascii="Times New Roman" w:hAnsi="Times New Roman" w:cs="Times New Roman"/>
          <w:sz w:val="28"/>
          <w:szCs w:val="28"/>
        </w:rPr>
        <w:t xml:space="preserve">программы эффективность ожидаемых результатов ее реализации оценивается по нескольким группам критериев. Обязательным условием оценки планируемой эффективности </w:t>
      </w:r>
      <w:r w:rsidR="00C177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 является успешное (полное) выполнение запланированных на период ее реализации программных мероприятий. В качестве основных критериев планируемой эффективности реализации </w:t>
      </w:r>
      <w:r w:rsidR="00C17733">
        <w:rPr>
          <w:rFonts w:ascii="Times New Roman" w:hAnsi="Times New Roman" w:cs="Times New Roman"/>
          <w:sz w:val="28"/>
          <w:szCs w:val="28"/>
        </w:rPr>
        <w:t>муниципальной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программы, в зависимости от специфики целей и задач </w:t>
      </w:r>
      <w:r w:rsidR="00C177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программы, могут применяться: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а) </w:t>
      </w:r>
      <w:r w:rsidR="00B93A66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 xml:space="preserve">критерии экономической эффективности, которые включают оценку вклада </w:t>
      </w:r>
      <w:r w:rsidR="00C17733">
        <w:rPr>
          <w:rFonts w:ascii="Times New Roman" w:hAnsi="Times New Roman" w:cs="Times New Roman"/>
          <w:sz w:val="28"/>
          <w:szCs w:val="28"/>
        </w:rPr>
        <w:t>муниципальной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 в экономическое развитие Новотроицкого сельсовета Северного района Новосибирской области в целом, оценку влияния ожидаемых результатов </w:t>
      </w:r>
      <w:r w:rsidR="00C17733">
        <w:rPr>
          <w:rFonts w:ascii="Times New Roman" w:hAnsi="Times New Roman" w:cs="Times New Roman"/>
          <w:sz w:val="28"/>
          <w:szCs w:val="28"/>
        </w:rPr>
        <w:t>муниципальной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 на различные сферы экономики Новотроицкого сельсовета Северного района Новосибирской области. Оценки могут включать как прямые (непосредственные) эффекты от реализации </w:t>
      </w:r>
      <w:r w:rsidR="00C17733">
        <w:rPr>
          <w:rFonts w:ascii="Times New Roman" w:hAnsi="Times New Roman" w:cs="Times New Roman"/>
          <w:sz w:val="28"/>
          <w:szCs w:val="28"/>
        </w:rPr>
        <w:t>муниципальной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программы, так и косвенные (внешние) эффекты, возникающие в сопряженных секторах экономики. В случае отраслевой или территориальной направленности </w:t>
      </w:r>
      <w:r w:rsidR="00C17733">
        <w:rPr>
          <w:rFonts w:ascii="Times New Roman" w:hAnsi="Times New Roman" w:cs="Times New Roman"/>
          <w:sz w:val="28"/>
          <w:szCs w:val="28"/>
        </w:rPr>
        <w:t>муниципальной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 оценка эффективности дополняется оценками вкладов в экономическое развитие соответствующих отраслей или территорий;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б) критерии социальной эффективности, учитывающие ожидаемый вклад реализации </w:t>
      </w:r>
      <w:r w:rsidR="00C177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 в показатели социального развития, которые не могут быть выражены в стоимостной оценке;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в) критерии бюджетной эффективности, предполагающие сопоставление </w:t>
      </w:r>
      <w:proofErr w:type="gramStart"/>
      <w:r w:rsidRPr="00373A3A">
        <w:rPr>
          <w:rFonts w:ascii="Times New Roman" w:hAnsi="Times New Roman" w:cs="Times New Roman"/>
          <w:sz w:val="28"/>
          <w:szCs w:val="28"/>
        </w:rPr>
        <w:t>затрат бюджета Новотроицкого сельсовета Северного района Новосибирской области</w:t>
      </w:r>
      <w:proofErr w:type="gramEnd"/>
      <w:r w:rsidRPr="00373A3A">
        <w:rPr>
          <w:rFonts w:ascii="Times New Roman" w:hAnsi="Times New Roman" w:cs="Times New Roman"/>
          <w:sz w:val="28"/>
          <w:szCs w:val="28"/>
        </w:rPr>
        <w:t xml:space="preserve"> на реализацию программных мероприятий с возникшими дополнительными доходами соответствующих бюджетов.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Методика оценки планируемой эффективности </w:t>
      </w:r>
      <w:r w:rsidR="00C17733">
        <w:rPr>
          <w:rFonts w:ascii="Times New Roman" w:hAnsi="Times New Roman" w:cs="Times New Roman"/>
          <w:sz w:val="28"/>
          <w:szCs w:val="28"/>
        </w:rPr>
        <w:t>муниципальной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 является обязательным приложением к </w:t>
      </w:r>
      <w:r w:rsidR="00C17733">
        <w:rPr>
          <w:rFonts w:ascii="Times New Roman" w:hAnsi="Times New Roman" w:cs="Times New Roman"/>
          <w:sz w:val="28"/>
          <w:szCs w:val="28"/>
        </w:rPr>
        <w:t>муниципальной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программе, утвержденной администрацией Новотроицкого сельсовета Северного района Новосибирской области.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lastRenderedPageBreak/>
        <w:t xml:space="preserve">7. Оценка фактической эффективности </w:t>
      </w:r>
      <w:r w:rsidR="00C17733">
        <w:rPr>
          <w:rFonts w:ascii="Times New Roman" w:hAnsi="Times New Roman" w:cs="Times New Roman"/>
          <w:sz w:val="28"/>
          <w:szCs w:val="28"/>
        </w:rPr>
        <w:t>муниципальных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 осуществляется на основе: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критериев бюджетной эффективности;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критериев экономической эффективности;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критериев социальной эффективности.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В общем случае бюджетная эффективность </w:t>
      </w:r>
      <w:proofErr w:type="gramStart"/>
      <w:r w:rsidRPr="00373A3A">
        <w:rPr>
          <w:rFonts w:ascii="Times New Roman" w:hAnsi="Times New Roman" w:cs="Times New Roman"/>
          <w:sz w:val="28"/>
          <w:szCs w:val="28"/>
        </w:rPr>
        <w:t>ассигнований бюджета Новотроицкого сельсовета Северного района Новосибирской области</w:t>
      </w:r>
      <w:proofErr w:type="gramEnd"/>
      <w:r w:rsidRPr="00373A3A">
        <w:rPr>
          <w:rFonts w:ascii="Times New Roman" w:hAnsi="Times New Roman" w:cs="Times New Roman"/>
          <w:sz w:val="28"/>
          <w:szCs w:val="28"/>
        </w:rPr>
        <w:t xml:space="preserve"> признается эффективной, если сумма дополнительных фактически полученных поступлений в бюджет в результате реализации </w:t>
      </w:r>
      <w:r w:rsidR="00C177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 превышает сумму бюджетных ассигнований на выполнение программы за рассматриваемый период.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В рамках оценки бюджетной эффективности проводится анализ достигнутых результатов в их соотношении к объему финансирования.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бюджетных ассигнований на реализацию </w:t>
      </w:r>
      <w:r w:rsidR="00C17733">
        <w:rPr>
          <w:rFonts w:ascii="Times New Roman" w:hAnsi="Times New Roman" w:cs="Times New Roman"/>
          <w:sz w:val="28"/>
          <w:szCs w:val="28"/>
        </w:rPr>
        <w:t>муниципальной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 заключается в положительной динамике финансово-экономических показателей деятельности предприятий и организаций  в целом.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В качестве экономического эффекта может быть определено достижение целевых значений показателей, установленных на соответствующие промежутки времени. Экономическая эффективность в данном случае определяется степенью достижения установленных целевых показателей.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Социальная эффективность бюджетных ассигнований признается положительной в случае достижения социально значимого эффекта в результате выполнения программных мероприятий и реализации </w:t>
      </w:r>
      <w:r w:rsidR="00C177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 в целом.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В качестве социального эффекта может быть определено достижение целевых значений показателей в социальной сфере, установленных на соответствующие промежутки времени. Социальная эффективность в данном случае определяется степенью достижения целевых значений установленных показателей.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Целевые значения индикаторов и показателей критериев эффективности реализации </w:t>
      </w:r>
      <w:r w:rsidR="00C17733">
        <w:rPr>
          <w:rFonts w:ascii="Times New Roman" w:hAnsi="Times New Roman" w:cs="Times New Roman"/>
          <w:sz w:val="28"/>
          <w:szCs w:val="28"/>
        </w:rPr>
        <w:t>муниципальных</w:t>
      </w:r>
      <w:r w:rsidR="00C17733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>программ должны удовлетворять следующим функциональным критериям: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- отражать специфику и решение проблемных ситуаций по приоритетным тематическим направлениям </w:t>
      </w:r>
      <w:r w:rsidR="00C17733">
        <w:rPr>
          <w:rFonts w:ascii="Times New Roman" w:hAnsi="Times New Roman" w:cs="Times New Roman"/>
          <w:sz w:val="28"/>
          <w:szCs w:val="28"/>
        </w:rPr>
        <w:t>муниципальных</w:t>
      </w:r>
      <w:r w:rsidR="00C17733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>программ;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- иметь количественное значение;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- определяться на основе данных статистического наблюдения;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- непосредственно зависеть от реализации мер государственной поддержки и регулирования в предметной области </w:t>
      </w:r>
      <w:r w:rsidR="00C17733">
        <w:rPr>
          <w:rFonts w:ascii="Times New Roman" w:hAnsi="Times New Roman" w:cs="Times New Roman"/>
          <w:sz w:val="28"/>
          <w:szCs w:val="28"/>
        </w:rPr>
        <w:t>муниципальных</w:t>
      </w:r>
      <w:r w:rsidR="00C17733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>программ;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- иметь динамичный характер, т.е. меняться за каждый отчетный период реализации </w:t>
      </w:r>
      <w:r w:rsidR="00C17733">
        <w:rPr>
          <w:rFonts w:ascii="Times New Roman" w:hAnsi="Times New Roman" w:cs="Times New Roman"/>
          <w:sz w:val="28"/>
          <w:szCs w:val="28"/>
        </w:rPr>
        <w:t>муниципальных</w:t>
      </w:r>
      <w:r w:rsidR="00C17733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>программ.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8. Специалист администрации Новотроицкого сельсовета Северного района Новосибирской области рассматривает пакет документов  в 15-</w:t>
      </w:r>
      <w:r w:rsidRPr="00373A3A">
        <w:rPr>
          <w:rFonts w:ascii="Times New Roman" w:hAnsi="Times New Roman" w:cs="Times New Roman"/>
          <w:sz w:val="28"/>
          <w:szCs w:val="28"/>
        </w:rPr>
        <w:lastRenderedPageBreak/>
        <w:t xml:space="preserve">дневный срок и дает заключение об эффективности реализации </w:t>
      </w:r>
      <w:r w:rsidR="00C17733">
        <w:rPr>
          <w:rFonts w:ascii="Times New Roman" w:hAnsi="Times New Roman" w:cs="Times New Roman"/>
          <w:sz w:val="28"/>
          <w:szCs w:val="28"/>
        </w:rPr>
        <w:t>муниципальной</w:t>
      </w:r>
      <w:r w:rsidR="00C17733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>программы.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9. В случае</w:t>
      </w:r>
      <w:proofErr w:type="gramStart"/>
      <w:r w:rsidRPr="00373A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3A3A">
        <w:rPr>
          <w:rFonts w:ascii="Times New Roman" w:hAnsi="Times New Roman" w:cs="Times New Roman"/>
          <w:sz w:val="28"/>
          <w:szCs w:val="28"/>
        </w:rPr>
        <w:t xml:space="preserve"> если оценка эффективности и результативность </w:t>
      </w:r>
      <w:r w:rsidR="00C17733">
        <w:rPr>
          <w:rFonts w:ascii="Times New Roman" w:hAnsi="Times New Roman" w:cs="Times New Roman"/>
          <w:sz w:val="28"/>
          <w:szCs w:val="28"/>
        </w:rPr>
        <w:t>муниципальной</w:t>
      </w:r>
      <w:r w:rsidR="00C17733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>программы низкая, специалист администрации Новотроицкого сельсовета Северного района Новосибирской области вносит предложение Главе Новотроицкого сельсовета Северного района Новосибирской области о сокращении, начиная с очередного финансового года, бюджетных ассигнований на реализацию программы, приостановлении реализации или досрочном прекращении ее реализации.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10. Решение о сокращении бюджетных ассигнований, приостановлении или досрочном прекращении </w:t>
      </w:r>
      <w:r w:rsidR="00C17733">
        <w:rPr>
          <w:rFonts w:ascii="Times New Roman" w:hAnsi="Times New Roman" w:cs="Times New Roman"/>
          <w:sz w:val="28"/>
          <w:szCs w:val="28"/>
        </w:rPr>
        <w:t>муниципальной</w:t>
      </w:r>
      <w:r w:rsidR="00C17733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>программы по результатам оценки эффективности ее реализации принимается администрацией Новотроицкого сельсовета Северного района Новосибирской области в форме постановления.</w:t>
      </w:r>
    </w:p>
    <w:p w:rsid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В случае принятия решения о сокращении, начиная с очередного финансового года, бюджетных ассигнований на реализацию </w:t>
      </w:r>
      <w:r w:rsidR="00C177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17733"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Pr="00373A3A">
        <w:rPr>
          <w:rFonts w:ascii="Times New Roman" w:hAnsi="Times New Roman" w:cs="Times New Roman"/>
          <w:sz w:val="28"/>
          <w:szCs w:val="28"/>
        </w:rPr>
        <w:t>программы или досрочном прекращении ее реализации и при наличии заключенных во исполнение соответствующей программы муниципальных контрактов,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</w:t>
      </w:r>
      <w:r w:rsidR="00207F91">
        <w:rPr>
          <w:rFonts w:ascii="Times New Roman" w:hAnsi="Times New Roman" w:cs="Times New Roman"/>
          <w:sz w:val="28"/>
          <w:szCs w:val="28"/>
        </w:rPr>
        <w:t>то соглашение об их прекращении.</w:t>
      </w:r>
    </w:p>
    <w:p w:rsidR="00207F91" w:rsidRDefault="00207F91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7F91" w:rsidRPr="00373A3A" w:rsidRDefault="00207F91" w:rsidP="00207F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207F91" w:rsidRPr="00373A3A" w:rsidSect="00E772C8">
          <w:pgSz w:w="11906" w:h="16838"/>
          <w:pgMar w:top="1134" w:right="1134" w:bottom="1134" w:left="1701" w:header="709" w:footer="709" w:gutter="0"/>
          <w:cols w:space="720"/>
        </w:sectPr>
      </w:pP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к Порядку проведения и </w:t>
      </w:r>
      <w:proofErr w:type="gramStart"/>
      <w:r w:rsidRPr="00373A3A">
        <w:rPr>
          <w:rFonts w:ascii="Times New Roman" w:hAnsi="Times New Roman" w:cs="Times New Roman"/>
          <w:sz w:val="28"/>
          <w:szCs w:val="28"/>
        </w:rPr>
        <w:t>критериях</w:t>
      </w:r>
      <w:proofErr w:type="gramEnd"/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оценки эффективности реализации</w:t>
      </w:r>
    </w:p>
    <w:p w:rsidR="00373A3A" w:rsidRPr="00207F91" w:rsidRDefault="00C17733" w:rsidP="00207F9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="00373A3A" w:rsidRPr="00373A3A">
        <w:rPr>
          <w:rFonts w:ascii="Times New Roman" w:hAnsi="Times New Roman" w:cs="Times New Roman"/>
          <w:sz w:val="28"/>
          <w:szCs w:val="28"/>
        </w:rPr>
        <w:t>программ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Таблица N 1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АНАЛИЗ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ОБЪЕМОВ ФИНАНСИРОВАНИЯ МЕРОПРИЯТИЙ</w:t>
      </w:r>
    </w:p>
    <w:p w:rsidR="00373A3A" w:rsidRPr="00373A3A" w:rsidRDefault="00C17733" w:rsidP="00373A3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73A3A" w:rsidRPr="00373A3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468"/>
        <w:gridCol w:w="1664"/>
        <w:gridCol w:w="1878"/>
        <w:gridCol w:w="1099"/>
        <w:gridCol w:w="1450"/>
        <w:gridCol w:w="1014"/>
        <w:gridCol w:w="344"/>
        <w:gridCol w:w="1508"/>
      </w:tblGrid>
      <w:tr w:rsidR="00373A3A" w:rsidRPr="00373A3A" w:rsidTr="00200D71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>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тыс. руб. 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373A3A" w:rsidRPr="00373A3A" w:rsidTr="00200D71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A" w:rsidRPr="00373A3A" w:rsidRDefault="00373A3A" w:rsidP="0020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A" w:rsidRPr="00373A3A" w:rsidRDefault="00373A3A" w:rsidP="0020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A" w:rsidRPr="00373A3A" w:rsidRDefault="00373A3A" w:rsidP="0020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A" w:rsidRPr="00373A3A" w:rsidRDefault="00373A3A" w:rsidP="0020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A3A" w:rsidRPr="00373A3A" w:rsidTr="00200D71">
        <w:trPr>
          <w:cantSplit/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A" w:rsidRPr="00373A3A" w:rsidRDefault="00373A3A" w:rsidP="0020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A" w:rsidRPr="00373A3A" w:rsidRDefault="00373A3A" w:rsidP="0020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A" w:rsidRPr="00373A3A" w:rsidRDefault="00373A3A" w:rsidP="0020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A" w:rsidRPr="00373A3A" w:rsidRDefault="00373A3A" w:rsidP="0020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A" w:rsidRPr="00373A3A" w:rsidRDefault="00373A3A" w:rsidP="0020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-/+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% 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A" w:rsidRPr="00373A3A" w:rsidRDefault="00373A3A" w:rsidP="0020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A3A" w:rsidRPr="00373A3A" w:rsidTr="00200D7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2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3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5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8     </w:t>
            </w:r>
          </w:p>
        </w:tc>
      </w:tr>
      <w:tr w:rsidR="00373A3A" w:rsidRPr="00373A3A" w:rsidTr="00200D71">
        <w:trPr>
          <w:cantSplit/>
          <w:trHeight w:val="240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Задача                                                                            </w:t>
            </w:r>
          </w:p>
        </w:tc>
      </w:tr>
      <w:tr w:rsidR="00373A3A" w:rsidRPr="00373A3A" w:rsidTr="00200D7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3A" w:rsidRPr="00373A3A" w:rsidTr="00200D7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3A" w:rsidRPr="00373A3A" w:rsidTr="00200D7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3A" w:rsidRPr="00373A3A" w:rsidTr="00200D7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3A" w:rsidRPr="00373A3A" w:rsidTr="00200D71">
        <w:trPr>
          <w:cantSplit/>
          <w:trHeight w:val="24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Программе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3A" w:rsidRPr="00373A3A" w:rsidTr="00200D71">
        <w:trPr>
          <w:cantSplit/>
          <w:trHeight w:val="24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3A" w:rsidRPr="00373A3A" w:rsidTr="00200D71">
        <w:trPr>
          <w:cantSplit/>
          <w:trHeight w:val="24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(ФБ)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3A" w:rsidRPr="00373A3A" w:rsidTr="00200D71">
        <w:trPr>
          <w:cantSplit/>
          <w:trHeight w:val="24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gramStart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3A" w:rsidRPr="00373A3A" w:rsidTr="00200D71">
        <w:trPr>
          <w:cantSplit/>
          <w:trHeight w:val="24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(МБ)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3A" w:rsidRPr="00373A3A" w:rsidTr="00200D71">
        <w:trPr>
          <w:cantSplit/>
          <w:trHeight w:val="24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привлеченные средства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3A" w:rsidRPr="00373A3A" w:rsidTr="00200D71">
        <w:trPr>
          <w:cantSplit/>
          <w:trHeight w:val="24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: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3A" w:rsidRPr="00373A3A" w:rsidTr="00200D71">
        <w:trPr>
          <w:cantSplit/>
          <w:trHeight w:val="3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расходы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Таблица N 2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АНАЛИЗ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ПОКАЗАТЕЛЕЙ РЕЗУЛЬТАТИВНОСТИ</w:t>
      </w:r>
    </w:p>
    <w:p w:rsidR="00373A3A" w:rsidRPr="00373A3A" w:rsidRDefault="00C17733" w:rsidP="00373A3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73A3A" w:rsidRPr="00373A3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240"/>
        <w:gridCol w:w="810"/>
        <w:gridCol w:w="1485"/>
        <w:gridCol w:w="1890"/>
        <w:gridCol w:w="945"/>
        <w:gridCol w:w="1080"/>
      </w:tblGrid>
      <w:tr w:rsidR="00373A3A" w:rsidRPr="00373A3A" w:rsidTr="00200D7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 </w:t>
            </w:r>
          </w:p>
        </w:tc>
      </w:tr>
      <w:tr w:rsidR="00373A3A" w:rsidRPr="00373A3A" w:rsidTr="00200D71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A" w:rsidRPr="00373A3A" w:rsidRDefault="00373A3A" w:rsidP="0020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A" w:rsidRPr="00373A3A" w:rsidRDefault="00373A3A" w:rsidP="0020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A" w:rsidRPr="00373A3A" w:rsidRDefault="00373A3A" w:rsidP="0020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A" w:rsidRPr="00373A3A" w:rsidRDefault="00373A3A" w:rsidP="0020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3A" w:rsidRPr="00373A3A" w:rsidRDefault="00373A3A" w:rsidP="0020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-/+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%   </w:t>
            </w:r>
          </w:p>
        </w:tc>
      </w:tr>
      <w:tr w:rsidR="00373A3A" w:rsidRPr="00373A3A" w:rsidTr="00200D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2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7   </w:t>
            </w:r>
          </w:p>
        </w:tc>
      </w:tr>
      <w:tr w:rsidR="00373A3A" w:rsidRPr="00373A3A" w:rsidTr="00200D7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           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результативности 1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3A" w:rsidRPr="00373A3A" w:rsidTr="00200D7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           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результативности 2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3A" w:rsidRPr="00373A3A" w:rsidTr="00200D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.....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Таблица N 3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ОЦЕНКА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>ЭФФЕКТИВНОСТИ РЕАЛИЗАЦИИ</w:t>
      </w:r>
    </w:p>
    <w:p w:rsidR="00373A3A" w:rsidRPr="00373A3A" w:rsidRDefault="00C17733" w:rsidP="00373A3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73A3A">
        <w:rPr>
          <w:rFonts w:ascii="Times New Roman" w:hAnsi="Times New Roman" w:cs="Times New Roman"/>
          <w:sz w:val="28"/>
          <w:szCs w:val="28"/>
        </w:rPr>
        <w:t xml:space="preserve"> </w:t>
      </w:r>
      <w:r w:rsidR="00373A3A" w:rsidRPr="00373A3A">
        <w:rPr>
          <w:rFonts w:ascii="Times New Roman" w:hAnsi="Times New Roman" w:cs="Times New Roman"/>
          <w:sz w:val="28"/>
          <w:szCs w:val="28"/>
        </w:rPr>
        <w:t>ПРОГРАММЫ</w:t>
      </w: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295"/>
        <w:gridCol w:w="2430"/>
        <w:gridCol w:w="2430"/>
        <w:gridCol w:w="2295"/>
      </w:tblGrid>
      <w:tr w:rsidR="00373A3A" w:rsidRPr="00373A3A" w:rsidTr="00200D71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результативности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объемы    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>(суммарно по всем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источникам), 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руб.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 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 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(индикатора) 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результативности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натуральном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стоимостном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выражении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7F9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7F9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>(гр. 5 = гр. 4</w:t>
            </w:r>
            <w:proofErr w:type="gramStart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73A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: гр. 3)    </w:t>
            </w:r>
          </w:p>
        </w:tc>
      </w:tr>
      <w:tr w:rsidR="00373A3A" w:rsidRPr="00373A3A" w:rsidTr="00200D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2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3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4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A">
              <w:rPr>
                <w:rFonts w:ascii="Times New Roman" w:hAnsi="Times New Roman" w:cs="Times New Roman"/>
                <w:sz w:val="28"/>
                <w:szCs w:val="28"/>
              </w:rPr>
              <w:t xml:space="preserve">5        </w:t>
            </w:r>
          </w:p>
        </w:tc>
      </w:tr>
      <w:tr w:rsidR="00373A3A" w:rsidRPr="00373A3A" w:rsidTr="00200D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3A" w:rsidRPr="00373A3A" w:rsidTr="00200D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3A" w:rsidRPr="00373A3A" w:rsidRDefault="00373A3A" w:rsidP="00200D7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3A3A" w:rsidRPr="00373A3A" w:rsidRDefault="00373A3A" w:rsidP="00373A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3A3A">
        <w:rPr>
          <w:rFonts w:ascii="Times New Roman" w:hAnsi="Times New Roman" w:cs="Times New Roman"/>
          <w:sz w:val="28"/>
          <w:szCs w:val="28"/>
        </w:rPr>
        <w:t xml:space="preserve">Примечание: в случае предоставления отчетности на втором и третьем годах реализации </w:t>
      </w:r>
      <w:r w:rsidR="00207F91">
        <w:rPr>
          <w:rFonts w:ascii="Times New Roman" w:hAnsi="Times New Roman" w:cs="Times New Roman"/>
          <w:sz w:val="28"/>
          <w:szCs w:val="28"/>
        </w:rPr>
        <w:t>муниципальной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 в таблице указывается также эффективность за прошлые отчетные периоды (с разбивкой по годам реализации </w:t>
      </w:r>
      <w:r w:rsidR="00207F91">
        <w:rPr>
          <w:rFonts w:ascii="Times New Roman" w:hAnsi="Times New Roman" w:cs="Times New Roman"/>
          <w:sz w:val="28"/>
          <w:szCs w:val="28"/>
        </w:rPr>
        <w:t>муниципальной</w:t>
      </w:r>
      <w:r w:rsidRPr="00373A3A"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:rsidR="00373A3A" w:rsidRPr="00373A3A" w:rsidRDefault="00373A3A" w:rsidP="00373A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3A3A" w:rsidRPr="00373A3A" w:rsidSect="0050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A3A"/>
    <w:rsid w:val="0006465A"/>
    <w:rsid w:val="001D6D0C"/>
    <w:rsid w:val="00207F91"/>
    <w:rsid w:val="00373A3A"/>
    <w:rsid w:val="00500C8E"/>
    <w:rsid w:val="006358B2"/>
    <w:rsid w:val="00814C11"/>
    <w:rsid w:val="00B93A66"/>
    <w:rsid w:val="00BC018A"/>
    <w:rsid w:val="00BC5808"/>
    <w:rsid w:val="00C17733"/>
    <w:rsid w:val="00EC52E2"/>
    <w:rsid w:val="00EE53C4"/>
    <w:rsid w:val="00F3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73A3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73A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73A3A"/>
    <w:rPr>
      <w:color w:val="0000FF"/>
      <w:u w:val="single"/>
    </w:rPr>
  </w:style>
  <w:style w:type="paragraph" w:customStyle="1" w:styleId="ConsPlusTitle">
    <w:name w:val="ConsPlusTitle"/>
    <w:uiPriority w:val="99"/>
    <w:rsid w:val="00373A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73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22;n=36122;fld=134;dst=1000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22;n=36122;fld=134;dst=1000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22;n=36122;fld=134;dst=100011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322;n=36122;fld=134;dst=100011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LAW;n=112715;fld=134;dst=2492" TargetMode="External"/><Relationship Id="rId9" Type="http://schemas.openxmlformats.org/officeDocument/2006/relationships/hyperlink" Target="consultantplus://offline/main?base=RLAW322;n=36122;fld=134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2015-07-27T04:37:00Z</cp:lastPrinted>
  <dcterms:created xsi:type="dcterms:W3CDTF">2015-07-27T04:36:00Z</dcterms:created>
  <dcterms:modified xsi:type="dcterms:W3CDTF">2016-01-20T03:24:00Z</dcterms:modified>
</cp:coreProperties>
</file>