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5" w:rsidRDefault="00A62EAE" w:rsidP="00A62EA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4054A">
        <w:rPr>
          <w:rFonts w:ascii="Times New Roman" w:hAnsi="Times New Roman" w:cs="Times New Roman"/>
          <w:sz w:val="28"/>
          <w:szCs w:val="28"/>
        </w:rPr>
        <w:t>8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4D4FBB" w:rsidRDefault="004D4FBB" w:rsidP="004D4FB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34A2" w:rsidRPr="000834A2" w:rsidRDefault="004D4FBB" w:rsidP="00C335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33522" w:rsidRDefault="00C33522" w:rsidP="00C335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29.03.2017 № 5</w:t>
      </w:r>
    </w:p>
    <w:p w:rsidR="00C33522" w:rsidRDefault="00C33522" w:rsidP="00C3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C33522" w:rsidRDefault="00C33522" w:rsidP="00C33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4D4FBB" w:rsidRPr="00EF6485" w:rsidRDefault="004D4FBB" w:rsidP="00A62EA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A827E8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6A3B17" w:rsidRPr="00A827E8">
        <w:rPr>
          <w:rFonts w:ascii="Times New Roman" w:hAnsi="Times New Roman" w:cs="Times New Roman"/>
          <w:b/>
          <w:sz w:val="26"/>
          <w:szCs w:val="26"/>
        </w:rPr>
        <w:t>Потюкановского</w:t>
      </w:r>
      <w:r w:rsidR="007464DE" w:rsidRPr="00A827E8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A827E8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A827E8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A827E8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07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A827E8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6A3B17" w:rsidRPr="00A827E8">
        <w:rPr>
          <w:rFonts w:ascii="Times New Roman" w:hAnsi="Times New Roman" w:cs="Times New Roman"/>
          <w:sz w:val="26"/>
          <w:szCs w:val="26"/>
        </w:rPr>
        <w:t>Потюкановского</w:t>
      </w:r>
      <w:r w:rsidR="007464DE" w:rsidRPr="00A827E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A827E8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r w:rsidR="007464DE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A827E8" w:rsidRDefault="00E3721B" w:rsidP="00A8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r w:rsidR="007464DE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A827E8" w:rsidRDefault="00E3721B" w:rsidP="00A62EA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A827E8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827E8" w:rsidRDefault="00E3721B" w:rsidP="00A82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A62EAE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A827E8" w:rsidRDefault="00E3721B" w:rsidP="00A827E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A827E8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A827E8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A827E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6A3B17" w:rsidRPr="00A827E8">
        <w:rPr>
          <w:rFonts w:ascii="Times New Roman" w:eastAsia="Times New Roman" w:hAnsi="Times New Roman" w:cs="Times New Roman"/>
          <w:bCs/>
          <w:sz w:val="26"/>
          <w:szCs w:val="26"/>
        </w:rPr>
        <w:t>Потюкановского</w:t>
      </w:r>
      <w:r w:rsidR="00D85B36" w:rsidRPr="00A827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A827E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A827E8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1. Местные нормативы градостроительного проектирования </w:t>
      </w:r>
      <w:r w:rsidR="006A3B17" w:rsidRPr="00A827E8">
        <w:rPr>
          <w:rFonts w:ascii="Times New Roman" w:hAnsi="Times New Roman" w:cs="Times New Roman"/>
          <w:sz w:val="26"/>
          <w:szCs w:val="26"/>
        </w:rPr>
        <w:t>Потюкановского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A827E8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A62EAE">
        <w:rPr>
          <w:rFonts w:ascii="Times New Roman" w:hAnsi="Times New Roman" w:cs="Times New Roman"/>
          <w:bCs/>
          <w:sz w:val="26"/>
          <w:szCs w:val="26"/>
        </w:rPr>
        <w:t xml:space="preserve"> (далее – сельсовет)</w:t>
      </w:r>
      <w:r w:rsidRPr="00A827E8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A827E8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A827E8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A827E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и </w:t>
      </w:r>
      <w:r w:rsidRPr="00A827E8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>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для использования их впроцессе   подготовки   документов  территориального  планирования,  правил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 xml:space="preserve">  разработаны   с   учетом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EF6485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4. Местные нормативы градостроительного проектирования </w:t>
      </w:r>
      <w:r w:rsidR="00233691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A827E8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A827E8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A827E8">
        <w:rPr>
          <w:rFonts w:ascii="Times New Roman" w:hAnsi="Times New Roman" w:cs="Times New Roman"/>
          <w:sz w:val="26"/>
          <w:szCs w:val="26"/>
        </w:rPr>
        <w:t>района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A827E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A827E8">
        <w:rPr>
          <w:rFonts w:ascii="Times New Roman" w:hAnsi="Times New Roman" w:cs="Times New Roman"/>
          <w:sz w:val="26"/>
          <w:szCs w:val="26"/>
        </w:rPr>
        <w:t>поселения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допустимогоуровня   территориальной   доступности   таких   объектов   для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A827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31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3721B"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</w:hyperlink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31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A827E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 w:rsidP="00A6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r w:rsidR="00383F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="00C91E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74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A827E8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6A3B17" w:rsidRPr="00A827E8">
              <w:rPr>
                <w:rFonts w:ascii="Times New Roman" w:hAnsi="Times New Roman" w:cs="Times New Roman"/>
                <w:sz w:val="26"/>
                <w:szCs w:val="26"/>
              </w:rPr>
              <w:t>Потюкановского</w:t>
            </w:r>
            <w:r w:rsidR="00D57E44" w:rsidRPr="00A827E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29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3721B" w:rsidRPr="00A827E8">
              <w:rPr>
                <w:rFonts w:ascii="Times New Roman" w:hAnsi="Times New Roman" w:cs="Times New Roman"/>
                <w:sz w:val="26"/>
                <w:szCs w:val="26"/>
              </w:rPr>
              <w:t>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A827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куб. м/сут.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A827E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A827E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721B" w:rsidRPr="00A827E8" w:rsidRDefault="00E3721B" w:rsidP="0007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3657AF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A827E8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A827E8">
        <w:rPr>
          <w:rFonts w:ascii="Times New Roman" w:hAnsi="Times New Roman" w:cs="Times New Roman"/>
          <w:sz w:val="26"/>
          <w:szCs w:val="26"/>
        </w:rPr>
        <w:t>устройств  для  очистки  воды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высококомфортное  жилье  -  тип  жилого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A827E8">
        <w:rPr>
          <w:rFonts w:ascii="Times New Roman" w:hAnsi="Times New Roman" w:cs="Times New Roman"/>
          <w:sz w:val="26"/>
          <w:szCs w:val="26"/>
        </w:rPr>
        <w:t>.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на </w:t>
      </w:r>
      <w:r w:rsidRPr="00A827E8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A827E8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A827E8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A827E8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A827E8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A827E8">
        <w:rPr>
          <w:rFonts w:ascii="Times New Roman" w:hAnsi="Times New Roman" w:cs="Times New Roman"/>
          <w:sz w:val="26"/>
          <w:szCs w:val="26"/>
        </w:rPr>
        <w:t>.</w:t>
      </w:r>
      <w:r w:rsidRPr="00A827E8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A827E8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A827E8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A827E8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A827E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A827E8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A827E8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A827E8">
        <w:rPr>
          <w:rFonts w:ascii="Times New Roman" w:hAnsi="Times New Roman" w:cs="Times New Roman"/>
          <w:sz w:val="26"/>
          <w:szCs w:val="26"/>
        </w:rPr>
        <w:t>установленных  в  целях обеспечения благопри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A827E8">
        <w:rPr>
          <w:rFonts w:ascii="Times New Roman" w:hAnsi="Times New Roman" w:cs="Times New Roman"/>
          <w:sz w:val="26"/>
          <w:szCs w:val="26"/>
        </w:rPr>
        <w:t>человека расчетных показателей минимально допустимого уровня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 xml:space="preserve">объектами, предусмотренными </w:t>
      </w:r>
      <w:hyperlink r:id="rId9" w:history="1">
        <w:r w:rsidRPr="00A827E8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827E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A827E8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Гр</w:t>
      </w:r>
      <w:r w:rsidR="00800D03">
        <w:rPr>
          <w:rFonts w:ascii="Times New Roman" w:hAnsi="Times New Roman" w:cs="Times New Roman"/>
          <w:sz w:val="26"/>
          <w:szCs w:val="26"/>
        </w:rPr>
        <w:t xml:space="preserve">К </w:t>
      </w:r>
      <w:r w:rsidRPr="00A827E8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A827E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A827E8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A827E8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A827E8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A827E8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Гр</w:t>
      </w:r>
      <w:r w:rsidR="00800D03">
        <w:rPr>
          <w:rFonts w:ascii="Times New Roman" w:hAnsi="Times New Roman" w:cs="Times New Roman"/>
          <w:sz w:val="26"/>
          <w:szCs w:val="26"/>
        </w:rPr>
        <w:t>К</w:t>
      </w:r>
      <w:r w:rsidRPr="00A827E8">
        <w:rPr>
          <w:rFonts w:ascii="Times New Roman" w:hAnsi="Times New Roman" w:cs="Times New Roman"/>
          <w:sz w:val="26"/>
          <w:szCs w:val="26"/>
        </w:rPr>
        <w:t xml:space="preserve"> РФ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A827E8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необходимости  обустроенное  и  оборудованное место, являющееся в том числе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подэстакадных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или подмостовых пространств, площадей и иных объектов улично-дорожной сети,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A827E8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A827E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A827E8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A827E8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A827E8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A827E8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A827E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A827E8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A827E8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A827E8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A827E8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A827E8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A827E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A827E8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A827E8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A827E8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A827E8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A827E8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C138A0" w:rsidRPr="00410016" w:rsidRDefault="00C138A0" w:rsidP="00C138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 2. Цели и задачи разработки местных нормативов градостроительного</w:t>
      </w:r>
    </w:p>
    <w:p w:rsidR="00E3721B" w:rsidRPr="00A827E8" w:rsidRDefault="00E3721B" w:rsidP="008866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 проектирования </w:t>
      </w:r>
      <w:r w:rsidR="006A3B17" w:rsidRPr="00A827E8">
        <w:rPr>
          <w:rFonts w:ascii="Times New Roman" w:eastAsia="Times New Roman" w:hAnsi="Times New Roman" w:cs="Times New Roman"/>
          <w:sz w:val="26"/>
          <w:szCs w:val="26"/>
        </w:rPr>
        <w:t>Потюкановского</w:t>
      </w:r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A827E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A827E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социально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-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экономического развития территории </w:t>
      </w:r>
      <w:r w:rsidR="001E3F2E" w:rsidRPr="00A827E8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A827E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A827E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A827E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775ED" w:rsidRPr="00A827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A827E8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A827E8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градостроительной    документации    изменяю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A827E8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A827E8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335423" w:rsidRPr="00A827E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A827E8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800D0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A827E8" w:rsidRDefault="00E3721B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A827E8" w:rsidRDefault="00335423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Default="00E3721B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800D03" w:rsidRPr="00A827E8" w:rsidRDefault="00800D03" w:rsidP="00800D0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интенсивности использования территории иного значения, выраженного в процентах застройки, иных показателях;</w:t>
      </w:r>
    </w:p>
    <w:p w:rsidR="00E3721B" w:rsidRPr="00A827E8" w:rsidRDefault="00E3721B" w:rsidP="008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A827E8" w:rsidRDefault="00E3721B" w:rsidP="00D8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A827E8" w:rsidRDefault="006A3B17" w:rsidP="007775E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eastAsia="Times New Roman" w:hAnsi="Times New Roman" w:cs="Times New Roman"/>
          <w:sz w:val="26"/>
          <w:szCs w:val="26"/>
        </w:rPr>
        <w:lastRenderedPageBreak/>
        <w:t>Потюкановского</w:t>
      </w:r>
      <w:r w:rsidR="00335423" w:rsidRPr="00A827E8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A827E8">
        <w:rPr>
          <w:rFonts w:ascii="Times New Roman" w:hAnsi="Times New Roman" w:cs="Times New Roman"/>
          <w:sz w:val="26"/>
          <w:szCs w:val="26"/>
        </w:rPr>
        <w:t>Северного района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A827E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A827E8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ГрК РФ МНГП </w:t>
      </w:r>
      <w:r w:rsidR="00335423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A827E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A827E8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A827E8">
          <w:rPr>
            <w:rFonts w:ascii="Times New Roman" w:hAnsi="Times New Roman" w:cs="Times New Roman"/>
            <w:sz w:val="26"/>
            <w:szCs w:val="26"/>
          </w:rPr>
          <w:t>е</w:t>
        </w:r>
        <w:r w:rsidRPr="00A827E8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A827E8">
        <w:rPr>
          <w:rFonts w:ascii="Times New Roman" w:hAnsi="Times New Roman" w:cs="Times New Roman"/>
          <w:sz w:val="26"/>
          <w:szCs w:val="26"/>
        </w:rPr>
        <w:t>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Гр</w:t>
      </w:r>
      <w:r w:rsidR="00E25C23">
        <w:rPr>
          <w:rFonts w:ascii="Times New Roman" w:hAnsi="Times New Roman" w:cs="Times New Roman"/>
          <w:sz w:val="26"/>
          <w:szCs w:val="26"/>
        </w:rPr>
        <w:t>К</w:t>
      </w:r>
      <w:r w:rsidRPr="00A827E8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A827E8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A827E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A827E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A827E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A827E8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A827E8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A827E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0834A2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0834A2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Электростанции, подстанция 110 кВ, переключательные пункты, трансформаторные подстанции, линии электропередачи 110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кВт·ч/чел./мес.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0834A2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отводимого для понизительных подстанций 110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25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Подстанции с двумя трансформаторами закрытого типа мощностью от 160 до 630 кВА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°C·сут.),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отдельно стоящих котельных в зависимости от мощности, га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 котельной, Гкал/ч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земельных участков, га, котельных, работающих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газомазутном топливе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Показатель удельного водопотребления, л/сут.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норма удельного хозяйственно-питьевого водопотребления на одного жителя, среднесуточная (за год), л/сут. на человека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 для размещения станций водоподготовки в зависимости от их производительности следует принимать по проекту, но не более, га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м/сут.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834A2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Расстояние от инженерных коммуникаций до объектов культурного наследия и их территорий следует принимать из расчета, м,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объектов культурного наследия указанные расстояния допускается сокращать, но принимать, м, не менее: от водонесущих сетей - 5, неводонесущих - 2</w:t>
            </w:r>
          </w:p>
        </w:tc>
      </w:tr>
    </w:tbl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0834A2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0834A2" w:rsidRPr="00DF0582" w:rsidTr="00B021D0">
        <w:trPr>
          <w:trHeight w:val="20"/>
        </w:trPr>
        <w:tc>
          <w:tcPr>
            <w:tcW w:w="534" w:type="dxa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0834A2" w:rsidRPr="00DF0582" w:rsidTr="00B021D0">
        <w:trPr>
          <w:trHeight w:val="20"/>
        </w:trPr>
        <w:tc>
          <w:tcPr>
            <w:tcW w:w="14884" w:type="dxa"/>
            <w:gridSpan w:val="9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 w:val="restart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исходя из функционального назначения, скоростей движения и состава потока, а также расшифровка приведенных ниже сокращений приведены в таблице № 1 приложения 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834A2" w:rsidRPr="00DF0582" w:rsidTr="00B021D0">
        <w:trPr>
          <w:trHeight w:val="29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0834A2" w:rsidRPr="00DF0582" w:rsidTr="00B021D0">
        <w:trPr>
          <w:trHeight w:val="7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</w:p>
        </w:tc>
      </w:tr>
      <w:tr w:rsidR="000834A2" w:rsidRPr="00DF0582" w:rsidTr="00B021D0">
        <w:trPr>
          <w:trHeight w:val="284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улиц и дорог в красных линиях, м</w:t>
            </w: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краевых полос между проезжей частью и бортовым камнем (окаймляющими плитами или лотками) на магистральных улицах и дорогах, м</w:t>
            </w: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 улиц и дорог, 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части, м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боковых проездов, 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примыканий пешеходно-транспортных улиц, улиц и дорог местного значения, проездов к другим магистральным улицам и дорогам регулируемого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50, при условии применения шумозащитных устройств – не менее 25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дорог до объектов культурного наследия и их территорий,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въездов и выездов на территории кварталов и микрорайонов, иных прилегающих территорий,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пешеходными переходами,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ед./сут. – 4 полосы; свыше 40000 до 80000 ед./сут. – 6 полос; свыше 80000 ед./сут. – 8 полос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обочины,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двухполосной осуществляют на протяжении 10 м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 автомобильную дорогу, га/км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 радиусы кривых в плане для размещения остановок на автомобильных дорогах категории,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длина остановочной площадки,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допустимые радиусы кривых в плане для размещения остановок,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Минимальное расстояние между остановочными пунктами, км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 w:val="restart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 w:val="restart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 w:val="restart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Автокемпинги,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объектами, 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категории IВ,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0834A2" w:rsidRPr="00DF0582" w:rsidTr="00B021D0">
        <w:trPr>
          <w:trHeight w:val="20"/>
        </w:trPr>
        <w:tc>
          <w:tcPr>
            <w:tcW w:w="534" w:type="dxa"/>
            <w:vMerge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0834A2" w:rsidRPr="00DF0582" w:rsidRDefault="000834A2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834A2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0834A2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0834A2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0834A2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0834A2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0834A2" w:rsidRPr="00DF0582" w:rsidRDefault="000834A2" w:rsidP="000834A2">
      <w:pPr>
        <w:jc w:val="center"/>
        <w:rPr>
          <w:rFonts w:ascii="Times New Roman" w:hAnsi="Times New Roman" w:cs="Times New Roman"/>
          <w:sz w:val="26"/>
          <w:szCs w:val="26"/>
        </w:rPr>
        <w:sectPr w:rsidR="000834A2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0834A2" w:rsidRPr="00427B21" w:rsidRDefault="000834A2" w:rsidP="000834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0834A2" w:rsidRPr="00427B21" w:rsidRDefault="000834A2" w:rsidP="0008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0834A2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0834A2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0834A2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 отходов, га/1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0834A2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834A2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0834A2" w:rsidRPr="00DF0582" w:rsidRDefault="000834A2" w:rsidP="00083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0834A2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земельного участка, га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чел./га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чел./га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машино-место/квартира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расстояние не менее, м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 Свод правил. Градостроительство. Планировка и застройка городских и сельских поселений. Актуализированная редакция СНиП 2.07.01-89*", утвержденных приказом Минрегиона Российской Федерации от 28.12.2010 N 820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чел./га, при среднем размере семьи, чел.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427B21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га/100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 рабочих мест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Предприятия бытового обслуживания возможно размещать во встроенно-пристроенных помещениях.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исключена</w:t>
            </w:r>
          </w:p>
        </w:tc>
      </w:tr>
      <w:tr w:rsidR="000834A2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0834A2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микрорайона, жилого района, га, для обслуживаемого населения, групп: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сельского поселения, га, для обслуживаемого населения, групп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0834A2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гаражей и стоянок для постоянного хранения автомобилей, м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834A2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2" w:rsidRPr="00DF0582" w:rsidRDefault="000834A2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C138A0" w:rsidRDefault="00C138A0" w:rsidP="00C13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C138A0" w:rsidRPr="00674CFE" w:rsidRDefault="00C138A0" w:rsidP="00C138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C138A0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C138A0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C138A0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38A0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C138A0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138A0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C138A0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138A0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C138A0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C138A0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8A0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C138A0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C138A0" w:rsidRPr="007F314E" w:rsidRDefault="00C138A0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C138A0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0" w:rsidRPr="007F314E" w:rsidRDefault="00C138A0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C138A0" w:rsidRPr="007F314E" w:rsidRDefault="00C138A0" w:rsidP="00C138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138A0" w:rsidRPr="00674CFE" w:rsidRDefault="00C138A0" w:rsidP="00C1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138A0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A827E8">
        <w:rPr>
          <w:rFonts w:ascii="Times New Roman" w:hAnsi="Times New Roman" w:cs="Times New Roman"/>
          <w:sz w:val="26"/>
          <w:szCs w:val="26"/>
        </w:rPr>
        <w:t>,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применяются при</w:t>
      </w:r>
      <w:r w:rsidR="00D85B3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A827E8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,  </w:t>
      </w:r>
      <w:r w:rsidRPr="00A827E8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827E8">
        <w:rPr>
          <w:rFonts w:ascii="Times New Roman" w:hAnsi="Times New Roman" w:cs="Times New Roman"/>
          <w:sz w:val="26"/>
          <w:szCs w:val="26"/>
        </w:rPr>
        <w:t>,</w:t>
      </w:r>
      <w:r w:rsidRPr="00A827E8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E25C2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827E8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ими    контроля    за    соблюдением   органами   местного   самоуправления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E25C2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E25C23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объектами   местного   значения   населения   муниципального   образования,</w:t>
      </w:r>
      <w:r w:rsidR="007775ED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A827E8">
        <w:rPr>
          <w:rFonts w:ascii="Times New Roman" w:hAnsi="Times New Roman" w:cs="Times New Roman"/>
          <w:sz w:val="26"/>
          <w:szCs w:val="26"/>
        </w:rPr>
        <w:t>не</w:t>
      </w:r>
      <w:r w:rsid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могут  быть  ниже  предельных  значений  расчетных  показателей  минимально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A827E8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A827E8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A827E8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A827E8">
        <w:rPr>
          <w:rFonts w:ascii="Times New Roman" w:hAnsi="Times New Roman" w:cs="Times New Roman"/>
          <w:sz w:val="26"/>
          <w:szCs w:val="26"/>
        </w:rPr>
        <w:t>района</w:t>
      </w:r>
      <w:r w:rsidRPr="00A827E8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, не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A827E8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lastRenderedPageBreak/>
        <w:t>объектов   местного  значения  для  населения  муниципального  образования,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A827E8">
        <w:rPr>
          <w:rFonts w:ascii="Times New Roman" w:hAnsi="Times New Roman" w:cs="Times New Roman"/>
          <w:sz w:val="26"/>
          <w:szCs w:val="26"/>
        </w:rPr>
        <w:t xml:space="preserve">, </w:t>
      </w:r>
      <w:r w:rsidRPr="00A827E8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1D4286" w:rsidRPr="00A827E8">
        <w:rPr>
          <w:rFonts w:ascii="Times New Roman" w:hAnsi="Times New Roman" w:cs="Times New Roman"/>
          <w:sz w:val="26"/>
          <w:szCs w:val="26"/>
        </w:rPr>
        <w:t xml:space="preserve"> </w:t>
      </w:r>
      <w:r w:rsidRPr="00A827E8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A827E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7E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A827E8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A827E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A827E8">
        <w:rPr>
          <w:rFonts w:ascii="Times New Roman" w:hAnsi="Times New Roman" w:cs="Times New Roman"/>
          <w:sz w:val="26"/>
          <w:szCs w:val="26"/>
        </w:rPr>
        <w:t>сельсовета</w:t>
      </w:r>
      <w:r w:rsidRPr="00A827E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A827E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</w:t>
      </w:r>
      <w:r w:rsidR="00E3721B" w:rsidRPr="00A827E8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19.10.1999 N 1683-р (О методике определения нормативной потребности субъектов Российской Федерации в объектах социальной инфраструктуры);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7" w:history="1">
        <w:r w:rsidRPr="00A827E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C138A0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C138A0" w:rsidRPr="008E4113" w:rsidRDefault="00C138A0" w:rsidP="00C1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A827E8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A827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A827E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827E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316B70" w:rsidRDefault="00316B70" w:rsidP="00316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C138A0" w:rsidRPr="00C138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C138A0" w:rsidRPr="008E4113">
        <w:rPr>
          <w:rFonts w:ascii="Times New Roman" w:hAnsi="Times New Roman" w:cs="Times New Roman"/>
          <w:sz w:val="26"/>
          <w:szCs w:val="26"/>
        </w:rPr>
        <w:t xml:space="preserve"> "</w:t>
      </w:r>
      <w:r w:rsidR="00C138A0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C138A0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C138A0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C138A0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C138A0">
        <w:rPr>
          <w:rFonts w:ascii="Times New Roman" w:hAnsi="Times New Roman" w:cs="Times New Roman"/>
          <w:sz w:val="24"/>
          <w:szCs w:val="24"/>
        </w:rPr>
        <w:t>2</w:t>
      </w:r>
      <w:r w:rsidR="00C138A0" w:rsidRPr="004F2419">
        <w:rPr>
          <w:rFonts w:ascii="Times New Roman" w:hAnsi="Times New Roman" w:cs="Times New Roman"/>
          <w:sz w:val="24"/>
          <w:szCs w:val="24"/>
        </w:rPr>
        <w:t>.0</w:t>
      </w:r>
      <w:r w:rsidR="00C138A0">
        <w:rPr>
          <w:rFonts w:ascii="Times New Roman" w:hAnsi="Times New Roman" w:cs="Times New Roman"/>
          <w:sz w:val="24"/>
          <w:szCs w:val="24"/>
        </w:rPr>
        <w:t>2</w:t>
      </w:r>
      <w:r w:rsidR="00C138A0" w:rsidRPr="004F2419">
        <w:rPr>
          <w:rFonts w:ascii="Times New Roman" w:hAnsi="Times New Roman" w:cs="Times New Roman"/>
          <w:sz w:val="24"/>
          <w:szCs w:val="24"/>
        </w:rPr>
        <w:t>.201</w:t>
      </w:r>
      <w:r w:rsidR="00C138A0">
        <w:rPr>
          <w:rFonts w:ascii="Times New Roman" w:hAnsi="Times New Roman" w:cs="Times New Roman"/>
          <w:sz w:val="24"/>
          <w:szCs w:val="24"/>
        </w:rPr>
        <w:t>8</w:t>
      </w:r>
      <w:r w:rsidR="00C138A0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A827E8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ГОСТ Р 52498-2005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ГОСТ Р 55528-2013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4286" w:rsidRPr="00A827E8" w:rsidRDefault="001D4286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Руководящие документы системы нормативных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A827E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A827E8" w:rsidRDefault="00316B70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A827E8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A827E8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A827E8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A827E8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A827E8" w:rsidRDefault="001D4286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A827E8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7E8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Поселковая дорога (ДПос)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Главная улица (УГл)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A827E8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Основная (УЖо)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A827E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Второстепенная (переулок) (УЖв)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A827E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Проезд (Пр)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A827E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(Прх)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A827E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7E8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A827E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A827E8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A827E8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74CC0"/>
    <w:rsid w:val="000834A2"/>
    <w:rsid w:val="000A2E20"/>
    <w:rsid w:val="000C78FF"/>
    <w:rsid w:val="0012057E"/>
    <w:rsid w:val="00167772"/>
    <w:rsid w:val="001B018B"/>
    <w:rsid w:val="001D4286"/>
    <w:rsid w:val="001E3F2E"/>
    <w:rsid w:val="00233691"/>
    <w:rsid w:val="00297492"/>
    <w:rsid w:val="002C5433"/>
    <w:rsid w:val="00316B70"/>
    <w:rsid w:val="00320FDE"/>
    <w:rsid w:val="0032213C"/>
    <w:rsid w:val="00335423"/>
    <w:rsid w:val="003657AF"/>
    <w:rsid w:val="00383F95"/>
    <w:rsid w:val="003A6E4C"/>
    <w:rsid w:val="004537A1"/>
    <w:rsid w:val="00465743"/>
    <w:rsid w:val="004D4FBB"/>
    <w:rsid w:val="00616BF9"/>
    <w:rsid w:val="006A3B17"/>
    <w:rsid w:val="006D03F3"/>
    <w:rsid w:val="007464DE"/>
    <w:rsid w:val="00756834"/>
    <w:rsid w:val="007775ED"/>
    <w:rsid w:val="007F6E77"/>
    <w:rsid w:val="00800D03"/>
    <w:rsid w:val="0084054A"/>
    <w:rsid w:val="008866FD"/>
    <w:rsid w:val="0092279D"/>
    <w:rsid w:val="009B1EA7"/>
    <w:rsid w:val="00A06A53"/>
    <w:rsid w:val="00A24C6C"/>
    <w:rsid w:val="00A62EAE"/>
    <w:rsid w:val="00A827E8"/>
    <w:rsid w:val="00A85F05"/>
    <w:rsid w:val="00A93310"/>
    <w:rsid w:val="00AB5316"/>
    <w:rsid w:val="00AC2B47"/>
    <w:rsid w:val="00AD6179"/>
    <w:rsid w:val="00B272F0"/>
    <w:rsid w:val="00B82B54"/>
    <w:rsid w:val="00BE2A59"/>
    <w:rsid w:val="00BE779C"/>
    <w:rsid w:val="00C0522E"/>
    <w:rsid w:val="00C138A0"/>
    <w:rsid w:val="00C33522"/>
    <w:rsid w:val="00C3746C"/>
    <w:rsid w:val="00C5199A"/>
    <w:rsid w:val="00C57ECC"/>
    <w:rsid w:val="00C651B0"/>
    <w:rsid w:val="00C91E0E"/>
    <w:rsid w:val="00CD35CC"/>
    <w:rsid w:val="00D57E44"/>
    <w:rsid w:val="00D85B36"/>
    <w:rsid w:val="00E25C23"/>
    <w:rsid w:val="00E3721B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3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3A2747087CA9F94C2F768FFVBN1F" TargetMode="External"/><Relationship Id="rId47" Type="http://schemas.openxmlformats.org/officeDocument/2006/relationships/hyperlink" Target="consultantplus://offline/ref=862BF38074F586FCD8A546FB316941F17CB3A37671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EB2A27B738597959C9BFB6AVFN8F" TargetMode="External"/><Relationship Id="rId45" Type="http://schemas.openxmlformats.org/officeDocument/2006/relationships/hyperlink" Target="consultantplus://offline/ref=862BF38074F586FCD8A546FB316941F17ABAAA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173778FCA9F94C2F768FFVBN1F" TargetMode="External"/><Relationship Id="rId48" Type="http://schemas.openxmlformats.org/officeDocument/2006/relationships/hyperlink" Target="consultantplus://offline/ref=862BF38074F586FCD8A546FB316941F17CBBAB73798597959C9BFB6AVFN8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AB7A1747989CA9F94C2F768FFVBN1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BA4767988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4A077738C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AB3A5727488CA9F94C2F768FFVB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17935</Words>
  <Characters>102230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40</cp:revision>
  <cp:lastPrinted>2016-11-10T06:32:00Z</cp:lastPrinted>
  <dcterms:created xsi:type="dcterms:W3CDTF">2016-11-07T05:13:00Z</dcterms:created>
  <dcterms:modified xsi:type="dcterms:W3CDTF">2018-02-26T02:25:00Z</dcterms:modified>
</cp:coreProperties>
</file>