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5F0A08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</w:t>
      </w:r>
      <w:r w:rsidR="00C3377A">
        <w:rPr>
          <w:rFonts w:ascii="Times New Roman" w:eastAsia="Times New Roman" w:hAnsi="Times New Roman" w:cs="Times New Roman"/>
          <w:sz w:val="28"/>
          <w:szCs w:val="28"/>
        </w:rPr>
        <w:t>.02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с. Северное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602D0">
        <w:rPr>
          <w:rFonts w:ascii="Times New Roman" w:eastAsia="Times New Roman" w:hAnsi="Times New Roman" w:cs="Times New Roman"/>
          <w:sz w:val="28"/>
          <w:szCs w:val="28"/>
        </w:rPr>
        <w:t>146</w:t>
      </w:r>
      <w:bookmarkStart w:id="0" w:name="_GoBack"/>
      <w:bookmarkEnd w:id="0"/>
    </w:p>
    <w:p w:rsidR="005F0A08" w:rsidRDefault="005F0A08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0A08" w:rsidRPr="005F0A08" w:rsidRDefault="007553DA" w:rsidP="005F0A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0A08" w:rsidRPr="005F0A08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17.12.2019 № 805 </w:t>
      </w:r>
    </w:p>
    <w:p w:rsidR="005F0A08" w:rsidRPr="005F0A08" w:rsidRDefault="005F0A08" w:rsidP="005F0A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0A08" w:rsidRPr="005F0A08" w:rsidRDefault="005F0A08" w:rsidP="005F0A0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5F0A08">
        <w:rPr>
          <w:rFonts w:ascii="Times New Roman" w:eastAsia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:rsidR="005F0A08" w:rsidRPr="005F0A08" w:rsidRDefault="005F0A08" w:rsidP="005F0A0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5F0A08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5F0A08" w:rsidRDefault="005F0A08" w:rsidP="005F0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5F0A08">
        <w:rPr>
          <w:rFonts w:ascii="Times New Roman" w:eastAsia="Times New Roman" w:hAnsi="Times New Roman" w:cs="Times New Roman"/>
          <w:sz w:val="28"/>
          <w:szCs w:val="28"/>
        </w:rPr>
        <w:t>Внести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муниципальную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программ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Северного района Новосибирской области «Развитие дополнительного образования в Северном районе Новосибирской области на 2020-2022 годы» (д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алее – муниципальная программа),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утвержденную постановлением</w:t>
      </w:r>
      <w:r w:rsidRPr="005F0A08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Северного района Новосибирской области от 17.12.2019 № 805 «Об утверждении муниципальной программы Северного района Новосибирской области «Развитие дополнительного образования в Северном районе Новосибирской области на 2020-2022 годы» (далее – постановление) следующие изменения:</w:t>
      </w:r>
    </w:p>
    <w:p w:rsidR="005F0A08" w:rsidRDefault="005F0A08" w:rsidP="005F0A0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1)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>позицию «Объемы финансирования (с расшифровкой по годам и источникам финансирования)» раздела 1. «Паспорт</w:t>
      </w:r>
      <w:r w:rsidRPr="005F0A08">
        <w:rPr>
          <w:rFonts w:ascii="Calibri" w:eastAsia="Calibri" w:hAnsi="Calibri" w:cs="Times New Roman"/>
          <w:lang w:eastAsia="en-US"/>
        </w:rPr>
        <w:t xml:space="preserve"> 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муниципальной программы Северного района Новосибирской  области </w:t>
      </w:r>
    </w:p>
    <w:p w:rsidR="005F0A08" w:rsidRPr="005F0A08" w:rsidRDefault="005F0A08" w:rsidP="005F0A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>«Развитие дополнительного образования в Северном районе Новосибирской области на 2020-2022 годы» изложить в следующей редакции:</w:t>
      </w:r>
    </w:p>
    <w:p w:rsidR="005F0A08" w:rsidRPr="005F0A08" w:rsidRDefault="005F0A08" w:rsidP="005F0A08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</w:p>
    <w:tbl>
      <w:tblPr>
        <w:tblStyle w:val="16"/>
        <w:tblW w:w="8363" w:type="dxa"/>
        <w:tblInd w:w="108" w:type="dxa"/>
        <w:tblLook w:val="04A0" w:firstRow="1" w:lastRow="0" w:firstColumn="1" w:lastColumn="0" w:noHBand="0" w:noVBand="1"/>
      </w:tblPr>
      <w:tblGrid>
        <w:gridCol w:w="2835"/>
        <w:gridCol w:w="5528"/>
      </w:tblGrid>
      <w:tr w:rsidR="005F0A08" w:rsidRPr="005F0A08" w:rsidTr="005F0A08">
        <w:trPr>
          <w:trHeight w:val="315"/>
        </w:trPr>
        <w:tc>
          <w:tcPr>
            <w:tcW w:w="2835" w:type="dxa"/>
          </w:tcPr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    </w:t>
            </w: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(с расшифровкой по годам и</w:t>
            </w: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источникам финансирования)</w:t>
            </w:r>
          </w:p>
        </w:tc>
        <w:tc>
          <w:tcPr>
            <w:tcW w:w="5528" w:type="dxa"/>
          </w:tcPr>
          <w:p w:rsidR="005F0A08" w:rsidRPr="005F0A08" w:rsidRDefault="005F0A08" w:rsidP="005F0A08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Прогнозный объем финансового обеспечения мероприятий Программы на 2020 - 2022 годы составляет 72 491,1 тыс. рублей.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-    28 607,1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 -  21 942,0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2022 год - 21 942,0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по источникам финансового обеспечения: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областной бюджет Новосибирской области,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– 0,0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местный  бюджет Северного района Новосибирской области,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– 72 491,1 </w:t>
            </w:r>
            <w:proofErr w:type="spell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 годам:</w:t>
            </w:r>
            <w:r w:rsidRPr="005F0A08">
              <w:rPr>
                <w:rFonts w:ascii="Calibri" w:hAnsi="Calibri" w:cs="Times New Roman"/>
                <w:sz w:val="28"/>
                <w:szCs w:val="28"/>
              </w:rPr>
              <w:t xml:space="preserve"> 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-  28 607,1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 -  21 942,0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2022 год -  21 942,0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исполнителям мероприятий Программы: 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МБУ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Северному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ДДТ – 21 728,2 тыс. рублей, в том числе: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- 7 806,0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- 6 961,1тыс.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- 6 961,1тыс.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МКУ ДО ФСЦ – 18 961,3 </w:t>
            </w:r>
            <w:proofErr w:type="spell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числе: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– 9 120,3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- 4 920,5 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- 4 920,5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МБУ ДО ДШИ – 31 801,6 </w:t>
            </w:r>
            <w:proofErr w:type="spell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числе: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2020 году - 11 680,8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2021 году - 10 060,4  тыс. рублей;</w:t>
            </w:r>
          </w:p>
          <w:p w:rsidR="005F0A08" w:rsidRPr="005F0A08" w:rsidRDefault="005F0A08" w:rsidP="005F0A0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eastAsia="Times New Roman" w:hAnsi="Times New Roman" w:cs="Times New Roman"/>
                <w:sz w:val="28"/>
                <w:szCs w:val="28"/>
              </w:rPr>
              <w:t>в 2022 году - 10 060,4 тыс. рублей</w:t>
            </w:r>
          </w:p>
        </w:tc>
      </w:tr>
    </w:tbl>
    <w:p w:rsidR="005F0A08" w:rsidRPr="005F0A08" w:rsidRDefault="005F0A08" w:rsidP="005F0A08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»;</w:t>
      </w:r>
    </w:p>
    <w:p w:rsidR="005F0A08" w:rsidRPr="005F0A08" w:rsidRDefault="005F0A08" w:rsidP="005F0A0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0A08" w:rsidRPr="005F0A08" w:rsidRDefault="005F0A08" w:rsidP="005F0A08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  <w:sectPr w:rsidR="005F0A08" w:rsidRPr="005F0A08" w:rsidSect="005F0A08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>2) в разделе 4. «Перечень программных мероприятий» изложить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таблицу 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>в  следующей редакции:</w:t>
      </w:r>
    </w:p>
    <w:p w:rsidR="005F0A08" w:rsidRPr="005F0A08" w:rsidRDefault="005F0A08" w:rsidP="005F0A0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«</w:t>
      </w:r>
    </w:p>
    <w:tbl>
      <w:tblPr>
        <w:tblStyle w:val="16"/>
        <w:tblW w:w="14414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940"/>
        <w:gridCol w:w="51"/>
        <w:gridCol w:w="1366"/>
        <w:gridCol w:w="993"/>
        <w:gridCol w:w="1134"/>
        <w:gridCol w:w="1275"/>
        <w:gridCol w:w="1276"/>
        <w:gridCol w:w="6379"/>
      </w:tblGrid>
      <w:tr w:rsidR="005F0A08" w:rsidRPr="005F0A08" w:rsidTr="00B602D0">
        <w:trPr>
          <w:trHeight w:val="510"/>
        </w:trPr>
        <w:tc>
          <w:tcPr>
            <w:tcW w:w="1991" w:type="dxa"/>
            <w:gridSpan w:val="2"/>
            <w:vMerge w:val="restart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66" w:type="dxa"/>
            <w:vMerge w:val="restart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93" w:type="dxa"/>
            <w:vMerge w:val="restart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685" w:type="dxa"/>
            <w:gridSpan w:val="3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показателя, в том числе по годам</w:t>
            </w:r>
          </w:p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  <w:vMerge w:val="restart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5F0A08" w:rsidRPr="005F0A08" w:rsidTr="00B602D0">
        <w:trPr>
          <w:trHeight w:val="315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c>
          <w:tcPr>
            <w:tcW w:w="14414" w:type="dxa"/>
            <w:gridSpan w:val="8"/>
          </w:tcPr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 обеспечение соответствия качества дополнительного образования меняющимся запросам населения и перспективным задачам социально-экономического развития Северного района Новосибирской области</w:t>
            </w:r>
          </w:p>
        </w:tc>
      </w:tr>
      <w:tr w:rsidR="005F0A08" w:rsidRPr="005F0A08" w:rsidTr="00B602D0">
        <w:tc>
          <w:tcPr>
            <w:tcW w:w="14414" w:type="dxa"/>
            <w:gridSpan w:val="8"/>
          </w:tcPr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1. Создание в системе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 образовательных организаций.</w:t>
            </w: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2. Обеспечение равных возможностей для детей в получении качественного дополнительного образования и позитивной социализации независимо от их места жительства, состояния здоровья и социально-экономического положения их семей.</w:t>
            </w: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3. 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получении новых знаний.</w:t>
            </w: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4. Развитие кадрового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потенциала системы дополнительного образования Северного района Новосибирской области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5. Создание условий для выявления и развития одаренных детей и учащейся молодежи, способствующих их профессиональному и личностному становлению.</w:t>
            </w:r>
          </w:p>
        </w:tc>
      </w:tr>
      <w:tr w:rsidR="005F0A08" w:rsidRPr="005F0A08" w:rsidTr="00B602D0">
        <w:trPr>
          <w:trHeight w:val="915"/>
        </w:trPr>
        <w:tc>
          <w:tcPr>
            <w:tcW w:w="1991" w:type="dxa"/>
            <w:gridSpan w:val="2"/>
            <w:vMerge w:val="restart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1. Финансовое обеспечение муниципальных заданий по реализации образовательных программ дополнительного образования</w:t>
            </w:r>
          </w:p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5F0A08" w:rsidRPr="005F0A08" w:rsidRDefault="005F0A08" w:rsidP="005F0A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5F0A08" w:rsidRPr="005F0A08" w:rsidRDefault="005F0A08" w:rsidP="005F0A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затрат, в том числе: </w:t>
            </w:r>
          </w:p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25 227,1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21 772,0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21 772,0</w:t>
            </w:r>
          </w:p>
        </w:tc>
        <w:tc>
          <w:tcPr>
            <w:tcW w:w="6379" w:type="dxa"/>
            <w:vMerge w:val="restart"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Удельный вес численности обучающихся муниципальных организаций дополнительного образования, которым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предоставлены для обучения </w:t>
            </w:r>
            <w:proofErr w:type="spell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высокооснащенные</w:t>
            </w:r>
            <w:proofErr w:type="spell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места составит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5 %. 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2. Охват детей в возрасте 5 - 18 лет программами дополнительного образования составит 77% .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Реализация целевой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модели развития муниципальной системы дополнительного образования детей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 действие муниципального опорного центра дополнительного образования детей;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проводится мониторинг доступности дополнительного образования с учетом индивидуальных потребностей и особенностей детей;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внедрены механизмы адресной поддержки отдельных категорий детей для получения доступного дополнительного образования: реализуются дополнительные общеобразовательные программы с учетом потребностей и индивидуальных особенностей отдельных категорий обучающихся. 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4. Доля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, охваченных дополнительными общеобразовательными программами технической направленности, составит 6%.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Доля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ограниченными возможностями здоровья, охваченных программами дополнительного образования, составит 58%.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Удельный вес численности руководителей и педагогических работников муниципальных организаций дополнительного образования, прошедших повышение квалификации или профессиональную переподготовку (раз в три года), составит 100 %.  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7. Доля педагогических работников организаций дополнительного образования, имеющих первую или высшую квалификационные категории, составит 78%.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8. Обеспечение отношения среднемесячной заработной платы педагогических работников муниципальных  организаций дополнительного образования к среднемесячной заработной плате учителей в Новосибирской области (в соответствии с показателями, определяемыми ежегодно соглашением между министерством образования Новосибирской области и Северным районом).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9. Удельный вес численности обучающихся по программам дополнительного образования, участвующих в олимпиадах, конкурсах, конференциях, форумах, каникулярных школах, профильных сменах, турнирах, соревнованиях и других мероприятиях различного уровня, в общей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по программам дополнительного образования, составит 50 %.</w:t>
            </w: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Действует муниципальный ресурсный центр по работе с одаренными обучающимися, обеспечивающий охват </w:t>
            </w: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программами дополнительного образования 2 %.</w:t>
            </w:r>
          </w:p>
        </w:tc>
      </w:tr>
      <w:tr w:rsidR="005F0A08" w:rsidRPr="005F0A08" w:rsidTr="00B602D0">
        <w:trPr>
          <w:trHeight w:val="540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11680,8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10060,4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10060,4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930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7636,0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6 791,1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6 791,1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540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5910,3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4 920,5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4 920,5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318"/>
        </w:trPr>
        <w:tc>
          <w:tcPr>
            <w:tcW w:w="1991" w:type="dxa"/>
            <w:gridSpan w:val="2"/>
            <w:vMerge w:val="restart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2. Модернизация инфраструктуры дополнительного образования</w:t>
            </w:r>
          </w:p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3210,0</w:t>
            </w:r>
          </w:p>
        </w:tc>
        <w:tc>
          <w:tcPr>
            <w:tcW w:w="1275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330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3" w:type="dxa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330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МБУ ДО </w:t>
            </w: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Северный ДДТ</w:t>
            </w:r>
            <w:proofErr w:type="gramEnd"/>
          </w:p>
        </w:tc>
        <w:tc>
          <w:tcPr>
            <w:tcW w:w="993" w:type="dxa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тыс. </w:t>
            </w: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рублей</w:t>
            </w:r>
          </w:p>
        </w:tc>
        <w:tc>
          <w:tcPr>
            <w:tcW w:w="1134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275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300"/>
        </w:trPr>
        <w:tc>
          <w:tcPr>
            <w:tcW w:w="1991" w:type="dxa"/>
            <w:gridSpan w:val="2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3" w:type="dxa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3210,0</w:t>
            </w:r>
          </w:p>
        </w:tc>
        <w:tc>
          <w:tcPr>
            <w:tcW w:w="1275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330"/>
        </w:trPr>
        <w:tc>
          <w:tcPr>
            <w:tcW w:w="1991" w:type="dxa"/>
            <w:gridSpan w:val="2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136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c>
          <w:tcPr>
            <w:tcW w:w="14414" w:type="dxa"/>
            <w:gridSpan w:val="8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6. Совершенствование и реализация системы мероприятий, направленных на выявление и развитие способностей одаренных детей и талантливой учащейся молодежи в Северном районе Новосибирской области</w:t>
            </w:r>
          </w:p>
        </w:tc>
      </w:tr>
      <w:tr w:rsidR="005F0A08" w:rsidRPr="005F0A08" w:rsidTr="00B602D0">
        <w:trPr>
          <w:trHeight w:val="1224"/>
        </w:trPr>
        <w:tc>
          <w:tcPr>
            <w:tcW w:w="1940" w:type="dxa"/>
            <w:vMerge w:val="restart"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1.Организация и проведение мероприятий в сфере образования, культуры, спорта, молодежной политики, направленных на выявление и развитие молодых талантов в разных сферах и на разных уровнях образования</w:t>
            </w:r>
          </w:p>
        </w:tc>
        <w:tc>
          <w:tcPr>
            <w:tcW w:w="1417" w:type="dxa"/>
            <w:gridSpan w:val="2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5F0A08" w:rsidRPr="005F0A08" w:rsidRDefault="005F0A08" w:rsidP="005F0A08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6379" w:type="dxa"/>
            <w:vMerge w:val="restart"/>
          </w:tcPr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будет обеспечено развитие и совершенствование организации и проведения интеллектуальных, творческих и спортивных состязаний, проведение на регулярной основе конкурсов, олимпиад, других мероприятий муниципального уровня</w:t>
            </w:r>
          </w:p>
        </w:tc>
      </w:tr>
      <w:tr w:rsidR="005F0A08" w:rsidRPr="005F0A08" w:rsidTr="00B602D0">
        <w:trPr>
          <w:trHeight w:val="825"/>
        </w:trPr>
        <w:tc>
          <w:tcPr>
            <w:tcW w:w="1940" w:type="dxa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1065"/>
        </w:trPr>
        <w:tc>
          <w:tcPr>
            <w:tcW w:w="1940" w:type="dxa"/>
            <w:vMerge/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</w:tc>
        <w:tc>
          <w:tcPr>
            <w:tcW w:w="993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</w:tc>
        <w:tc>
          <w:tcPr>
            <w:tcW w:w="6379" w:type="dxa"/>
            <w:vMerge/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1825"/>
        </w:trPr>
        <w:tc>
          <w:tcPr>
            <w:tcW w:w="1940" w:type="dxa"/>
            <w:vMerge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  <w:tcBorders>
              <w:bottom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885"/>
        </w:trPr>
        <w:tc>
          <w:tcPr>
            <w:tcW w:w="19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2. Участие одаренных детей и талантливой учащейся молодежи в мероприятиях всероссийского, международного и регионального уровней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A08" w:rsidRPr="005F0A08" w:rsidRDefault="005F0A08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организационное и финансовое обеспечение участия обучающихся во всероссийских, региональных олимпиадах, конкурсах, соревнованиях и иных мероприятиях по выявлению молодых талантов</w:t>
            </w:r>
          </w:p>
        </w:tc>
      </w:tr>
      <w:tr w:rsidR="00DB1EC2" w:rsidRPr="005F0A08" w:rsidTr="00B602D0">
        <w:trPr>
          <w:trHeight w:val="885"/>
        </w:trPr>
        <w:tc>
          <w:tcPr>
            <w:tcW w:w="1940" w:type="dxa"/>
            <w:vMerge/>
            <w:tcBorders>
              <w:top w:val="single" w:sz="4" w:space="0" w:color="auto"/>
            </w:tcBorders>
          </w:tcPr>
          <w:p w:rsidR="00DB1EC2" w:rsidRPr="005F0A08" w:rsidRDefault="00DB1EC2" w:rsidP="005F0A0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ДШИ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</w:p>
        </w:tc>
      </w:tr>
      <w:tr w:rsidR="00DB1EC2" w:rsidRPr="005F0A08" w:rsidTr="00B602D0">
        <w:trPr>
          <w:trHeight w:val="735"/>
        </w:trPr>
        <w:tc>
          <w:tcPr>
            <w:tcW w:w="1940" w:type="dxa"/>
            <w:vMerge/>
          </w:tcPr>
          <w:p w:rsidR="00DB1EC2" w:rsidRPr="005F0A08" w:rsidRDefault="00DB1EC2" w:rsidP="005F0A0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DB1EC2" w:rsidRPr="005F0A08" w:rsidRDefault="00DB1EC2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Северный ДДТ</w:t>
            </w:r>
            <w:proofErr w:type="gramEnd"/>
          </w:p>
        </w:tc>
        <w:tc>
          <w:tcPr>
            <w:tcW w:w="993" w:type="dxa"/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5" w:type="dxa"/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</w:p>
        </w:tc>
      </w:tr>
      <w:tr w:rsidR="00DB1EC2" w:rsidRPr="005F0A08" w:rsidTr="00B602D0">
        <w:trPr>
          <w:trHeight w:val="895"/>
        </w:trPr>
        <w:tc>
          <w:tcPr>
            <w:tcW w:w="1940" w:type="dxa"/>
            <w:vMerge/>
          </w:tcPr>
          <w:p w:rsidR="00DB1EC2" w:rsidRPr="005F0A08" w:rsidRDefault="00DB1EC2" w:rsidP="005F0A08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DB1EC2" w:rsidRPr="005F0A08" w:rsidRDefault="00DB1EC2" w:rsidP="005F0A08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ФСЦ</w:t>
            </w:r>
          </w:p>
        </w:tc>
        <w:tc>
          <w:tcPr>
            <w:tcW w:w="993" w:type="dxa"/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1134" w:type="dxa"/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C2" w:rsidRPr="005F0A08" w:rsidRDefault="00DB1EC2" w:rsidP="005F0A0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:rsidR="005F0A08" w:rsidRPr="005F0A08" w:rsidRDefault="005F0A08" w:rsidP="005F0A0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F0A08" w:rsidRPr="005F0A08" w:rsidRDefault="005F0A08" w:rsidP="005F0A08">
      <w:pPr>
        <w:rPr>
          <w:rFonts w:ascii="Times New Roman" w:eastAsia="Times New Roman" w:hAnsi="Times New Roman" w:cs="Times New Roman"/>
          <w:sz w:val="28"/>
          <w:szCs w:val="28"/>
        </w:rPr>
      </w:pPr>
      <w:r w:rsidRPr="005F0A0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»;</w:t>
      </w:r>
    </w:p>
    <w:p w:rsidR="005F0A08" w:rsidRPr="005F0A08" w:rsidRDefault="005F0A08" w:rsidP="005F0A0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F0A08" w:rsidRPr="005F0A08" w:rsidRDefault="005F0A08" w:rsidP="00DB1EC2">
      <w:pPr>
        <w:ind w:firstLine="709"/>
        <w:rPr>
          <w:rFonts w:ascii="Times New Roman" w:eastAsia="Times New Roman" w:hAnsi="Times New Roman" w:cs="Times New Roman"/>
          <w:sz w:val="28"/>
          <w:szCs w:val="28"/>
        </w:rPr>
        <w:sectPr w:rsidR="005F0A08" w:rsidRPr="005F0A08" w:rsidSect="00B602D0">
          <w:pgSz w:w="16838" w:h="11906" w:orient="landscape"/>
          <w:pgMar w:top="709" w:right="1245" w:bottom="851" w:left="1134" w:header="709" w:footer="709" w:gutter="0"/>
          <w:cols w:space="708"/>
          <w:docGrid w:linePitch="360"/>
        </w:sectPr>
      </w:pPr>
    </w:p>
    <w:p w:rsidR="005F0A08" w:rsidRPr="005F0A08" w:rsidRDefault="00DB1EC2" w:rsidP="00DB1EC2">
      <w:pPr>
        <w:ind w:firstLine="709"/>
        <w:contextualSpacing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2.Внести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5F0A08" w:rsidRPr="005F0A08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proofErr w:type="spellEnd"/>
      <w:r w:rsidR="005F0A08" w:rsidRPr="005F0A08">
        <w:rPr>
          <w:rFonts w:ascii="Times New Roman" w:eastAsia="Times New Roman" w:hAnsi="Times New Roman" w:cs="Times New Roman"/>
          <w:sz w:val="28"/>
          <w:szCs w:val="28"/>
        </w:rPr>
        <w:t xml:space="preserve"> к муниципальной программе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изменения изложив его</w:t>
      </w:r>
      <w:r w:rsidR="005F0A08" w:rsidRPr="005F0A08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</w:t>
      </w:r>
    </w:p>
    <w:p w:rsidR="005F0A08" w:rsidRPr="005F0A08" w:rsidRDefault="005F0A08" w:rsidP="005F0A08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F0A08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F0A08">
        <w:rPr>
          <w:rFonts w:ascii="Times New Roman" w:eastAsia="Calibri" w:hAnsi="Times New Roman" w:cs="Times New Roman"/>
          <w:sz w:val="28"/>
          <w:szCs w:val="28"/>
        </w:rPr>
        <w:t>Сводные финансовые затраты</w:t>
      </w:r>
    </w:p>
    <w:p w:rsidR="005F0A08" w:rsidRPr="005F0A08" w:rsidRDefault="005F0A08" w:rsidP="005F0A08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 Северного района Новосибирской области                                                                    «Развитие дополнительного образования в Северном районе Новосибирской области на 2020-2022 годы»</w:t>
      </w:r>
    </w:p>
    <w:tbl>
      <w:tblPr>
        <w:tblStyle w:val="16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2082"/>
        <w:gridCol w:w="1275"/>
        <w:gridCol w:w="1276"/>
        <w:gridCol w:w="1418"/>
        <w:gridCol w:w="1275"/>
        <w:gridCol w:w="1525"/>
      </w:tblGrid>
      <w:tr w:rsidR="005F0A08" w:rsidRPr="005F0A08" w:rsidTr="00B602D0">
        <w:trPr>
          <w:trHeight w:val="435"/>
        </w:trPr>
        <w:tc>
          <w:tcPr>
            <w:tcW w:w="2082" w:type="dxa"/>
            <w:vMerge w:val="restart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Источники и направления расходов</w:t>
            </w:r>
          </w:p>
        </w:tc>
        <w:tc>
          <w:tcPr>
            <w:tcW w:w="5244" w:type="dxa"/>
            <w:gridSpan w:val="4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Финансовые затраты (</w:t>
            </w:r>
            <w:proofErr w:type="spellStart"/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1525" w:type="dxa"/>
            <w:vMerge w:val="restart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5F0A08" w:rsidRPr="005F0A08" w:rsidTr="00B602D0">
        <w:trPr>
          <w:trHeight w:val="420"/>
        </w:trPr>
        <w:tc>
          <w:tcPr>
            <w:tcW w:w="2082" w:type="dxa"/>
            <w:vMerge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969" w:type="dxa"/>
            <w:gridSpan w:val="3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525" w:type="dxa"/>
            <w:vMerge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rPr>
          <w:trHeight w:val="420"/>
        </w:trPr>
        <w:tc>
          <w:tcPr>
            <w:tcW w:w="2082" w:type="dxa"/>
            <w:vMerge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525" w:type="dxa"/>
            <w:vMerge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Всего финансовых затрат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72 491,1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28 607,1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72 491,1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28 607,1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Капитальные вложения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Эксплуатационные расходы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72 491,1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28 607,1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местного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72 491,1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28 607,1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21 942,0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областного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федерального бюджета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0A08" w:rsidRPr="005F0A08" w:rsidTr="00B602D0">
        <w:tc>
          <w:tcPr>
            <w:tcW w:w="2082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A0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25" w:type="dxa"/>
          </w:tcPr>
          <w:p w:rsidR="005F0A08" w:rsidRPr="005F0A08" w:rsidRDefault="005F0A08" w:rsidP="005F0A08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0A08" w:rsidRPr="005F0A08" w:rsidRDefault="00DB1EC2" w:rsidP="005F0A08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         ».</w:t>
      </w:r>
    </w:p>
    <w:p w:rsidR="005F0A08" w:rsidRPr="005F0A08" w:rsidRDefault="005F0A08" w:rsidP="00DB1EC2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F0A08" w:rsidRPr="005F0A08" w:rsidRDefault="00DB1EC2" w:rsidP="005F0A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Глава</w:t>
      </w:r>
      <w:r w:rsidR="005F0A08"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Северного района </w:t>
      </w:r>
    </w:p>
    <w:p w:rsidR="005F0A08" w:rsidRPr="005F0A08" w:rsidRDefault="005F0A08" w:rsidP="005F0A0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</w:t>
      </w:r>
      <w:r w:rsidR="00DB1EC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Pr="005F0A0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  <w:r w:rsidR="00DB1EC2">
        <w:rPr>
          <w:rFonts w:ascii="Times New Roman" w:eastAsia="Calibri" w:hAnsi="Times New Roman" w:cs="Times New Roman"/>
          <w:sz w:val="28"/>
          <w:szCs w:val="28"/>
          <w:lang w:eastAsia="en-US"/>
        </w:rPr>
        <w:t>С.В. Коростелев</w:t>
      </w:r>
    </w:p>
    <w:p w:rsidR="009F29FE" w:rsidRPr="00B157EE" w:rsidRDefault="009F29FE" w:rsidP="009F29F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sectPr w:rsidR="009F29FE" w:rsidRPr="00B157EE" w:rsidSect="005F0A08">
      <w:pgSz w:w="11906" w:h="16838"/>
      <w:pgMar w:top="567" w:right="567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2D0" w:rsidRDefault="00B602D0" w:rsidP="008729EC">
      <w:pPr>
        <w:spacing w:after="0" w:line="240" w:lineRule="auto"/>
      </w:pPr>
      <w:r>
        <w:separator/>
      </w:r>
    </w:p>
  </w:endnote>
  <w:endnote w:type="continuationSeparator" w:id="0">
    <w:p w:rsidR="00B602D0" w:rsidRDefault="00B602D0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2D0" w:rsidRDefault="00B602D0" w:rsidP="008729EC">
      <w:pPr>
        <w:spacing w:after="0" w:line="240" w:lineRule="auto"/>
      </w:pPr>
      <w:r>
        <w:separator/>
      </w:r>
    </w:p>
  </w:footnote>
  <w:footnote w:type="continuationSeparator" w:id="0">
    <w:p w:rsidR="00B602D0" w:rsidRDefault="00B602D0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F1017F"/>
    <w:multiLevelType w:val="hybridMultilevel"/>
    <w:tmpl w:val="E4E6E066"/>
    <w:lvl w:ilvl="0" w:tplc="2984F01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9">
    <w:nsid w:val="295966FB"/>
    <w:multiLevelType w:val="hybridMultilevel"/>
    <w:tmpl w:val="F28434DC"/>
    <w:lvl w:ilvl="0" w:tplc="F4FAE3C8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4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5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71273B1A"/>
    <w:multiLevelType w:val="hybridMultilevel"/>
    <w:tmpl w:val="3088524A"/>
    <w:lvl w:ilvl="0" w:tplc="1AD836DE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25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0"/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8"/>
  </w:num>
  <w:num w:numId="13">
    <w:abstractNumId w:val="15"/>
  </w:num>
  <w:num w:numId="14">
    <w:abstractNumId w:val="12"/>
  </w:num>
  <w:num w:numId="15">
    <w:abstractNumId w:val="21"/>
  </w:num>
  <w:num w:numId="16">
    <w:abstractNumId w:val="22"/>
  </w:num>
  <w:num w:numId="17">
    <w:abstractNumId w:val="2"/>
  </w:num>
  <w:num w:numId="18">
    <w:abstractNumId w:val="19"/>
  </w:num>
  <w:num w:numId="19">
    <w:abstractNumId w:val="7"/>
  </w:num>
  <w:num w:numId="20">
    <w:abstractNumId w:val="20"/>
  </w:num>
  <w:num w:numId="21">
    <w:abstractNumId w:val="11"/>
  </w:num>
  <w:num w:numId="22">
    <w:abstractNumId w:val="5"/>
  </w:num>
  <w:num w:numId="23">
    <w:abstractNumId w:val="17"/>
  </w:num>
  <w:num w:numId="24">
    <w:abstractNumId w:val="9"/>
  </w:num>
  <w:num w:numId="25">
    <w:abstractNumId w:val="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5D00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B5E02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3931"/>
    <w:rsid w:val="003F5F27"/>
    <w:rsid w:val="003F645A"/>
    <w:rsid w:val="00402A3F"/>
    <w:rsid w:val="00405872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0A08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B6B4F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4544"/>
    <w:rsid w:val="009C489A"/>
    <w:rsid w:val="009C7D6A"/>
    <w:rsid w:val="009D1BA5"/>
    <w:rsid w:val="009D2FFC"/>
    <w:rsid w:val="009E0B90"/>
    <w:rsid w:val="009E2C04"/>
    <w:rsid w:val="009E5285"/>
    <w:rsid w:val="009F069F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02D0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3F0"/>
    <w:rsid w:val="00D52DED"/>
    <w:rsid w:val="00D55833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1EC2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5"/>
    <w:uiPriority w:val="59"/>
    <w:rsid w:val="005F0A08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5"/>
    <w:uiPriority w:val="59"/>
    <w:rsid w:val="005F0A08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1B766-15A7-4D12-95C6-10343C088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7</Pages>
  <Words>1511</Words>
  <Characters>8616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196</cp:revision>
  <cp:lastPrinted>2020-02-20T04:44:00Z</cp:lastPrinted>
  <dcterms:created xsi:type="dcterms:W3CDTF">2019-07-01T09:51:00Z</dcterms:created>
  <dcterms:modified xsi:type="dcterms:W3CDTF">2020-02-20T05:20:00Z</dcterms:modified>
</cp:coreProperties>
</file>